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姚安县财政局关于重大政策和重点项目等</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绩效目标情况说明</w:t>
      </w:r>
    </w:p>
    <w:p>
      <w:pPr>
        <w:pStyle w:val="4"/>
        <w:rPr>
          <w:rFonts w:hint="eastAsia"/>
          <w:lang w:val="en-US" w:eastAsia="zh-CN"/>
        </w:rPr>
      </w:pPr>
    </w:p>
    <w:p>
      <w:pPr>
        <w:pStyle w:val="23"/>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黑体简体" w:cs="Times New Roman"/>
          <w:sz w:val="32"/>
          <w:szCs w:val="32"/>
          <w:lang w:val="en-US" w:eastAsia="zh-CN"/>
        </w:rPr>
        <w:t>一、</w:t>
      </w:r>
      <w:r>
        <w:rPr>
          <w:rFonts w:hint="eastAsia" w:ascii="Times New Roman" w:hAnsi="Times New Roman" w:eastAsia="方正黑体简体" w:cs="Times New Roman"/>
          <w:sz w:val="32"/>
          <w:szCs w:val="32"/>
          <w:lang w:val="en-US" w:eastAsia="zh-CN"/>
        </w:rPr>
        <w:t>2024年</w:t>
      </w:r>
      <w:r>
        <w:rPr>
          <w:rFonts w:hint="default" w:ascii="Times New Roman" w:hAnsi="Times New Roman" w:eastAsia="方正黑体简体" w:cs="Times New Roman"/>
          <w:sz w:val="32"/>
          <w:szCs w:val="32"/>
          <w:lang w:val="en-US" w:eastAsia="zh-CN"/>
        </w:rPr>
        <w:t>工作开展情况</w:t>
      </w:r>
    </w:p>
    <w:p>
      <w:pPr>
        <w:pStyle w:val="24"/>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default" w:ascii="Times New Roman" w:hAnsi="Times New Roman" w:eastAsia="方正仿宋简体" w:cs="Times New Roman"/>
          <w:spacing w:val="0"/>
          <w:kern w:val="0"/>
          <w:sz w:val="32"/>
          <w:szCs w:val="32"/>
          <w:highlight w:val="none"/>
          <w:lang w:val="en-US" w:eastAsia="zh-CN" w:bidi="ar-SA"/>
        </w:rPr>
      </w:pPr>
      <w:r>
        <w:rPr>
          <w:rFonts w:hint="default" w:ascii="Times New Roman" w:hAnsi="Times New Roman" w:eastAsia="方正楷体简体" w:cs="Times New Roman"/>
          <w:sz w:val="32"/>
          <w:szCs w:val="32"/>
          <w:lang w:val="en-US" w:eastAsia="zh-CN"/>
        </w:rPr>
        <w:t>（一）扎实开展重点项目事前绩效评估。</w:t>
      </w:r>
      <w:r>
        <w:rPr>
          <w:rFonts w:hint="default" w:ascii="Times New Roman" w:hAnsi="Times New Roman" w:eastAsia="方正仿宋简体" w:cs="Times New Roman"/>
          <w:spacing w:val="0"/>
          <w:kern w:val="0"/>
          <w:sz w:val="32"/>
          <w:szCs w:val="32"/>
          <w:highlight w:val="none"/>
          <w:lang w:val="en-US" w:eastAsia="zh-CN" w:bidi="ar-SA"/>
        </w:rPr>
        <w:t>2024年部门预算中，由县财政局牵头，及时成立预算编审委员会，对</w:t>
      </w:r>
      <w:r>
        <w:rPr>
          <w:rFonts w:hint="eastAsia" w:ascii="Times New Roman" w:hAnsi="Times New Roman" w:eastAsia="方正仿宋简体" w:cs="Times New Roman"/>
          <w:spacing w:val="0"/>
          <w:kern w:val="0"/>
          <w:sz w:val="32"/>
          <w:szCs w:val="32"/>
          <w:highlight w:val="none"/>
          <w:lang w:val="en-US" w:eastAsia="zh-CN" w:bidi="ar-SA"/>
        </w:rPr>
        <w:t>全县</w:t>
      </w:r>
      <w:r>
        <w:rPr>
          <w:rFonts w:hint="default" w:ascii="Times New Roman" w:hAnsi="Times New Roman" w:eastAsia="方正仿宋简体" w:cs="Times New Roman"/>
          <w:spacing w:val="0"/>
          <w:kern w:val="0"/>
          <w:sz w:val="32"/>
          <w:szCs w:val="32"/>
          <w:highlight w:val="none"/>
          <w:lang w:val="en-US" w:eastAsia="zh-CN" w:bidi="ar-SA"/>
        </w:rPr>
        <w:t>重大项目按要求全面开展简易事前绩效评估，从项目立项必要性、实施方案可靠性、绩效目标合理性、投入经济性、筹资合规性5方面进一步细化具体评估指标，科学赋予分值权重、评估打分</w:t>
      </w:r>
      <w:r>
        <w:rPr>
          <w:rFonts w:hint="eastAsia" w:ascii="Times New Roman" w:hAnsi="Times New Roman" w:eastAsia="方正仿宋简体" w:cs="Times New Roman"/>
          <w:spacing w:val="0"/>
          <w:kern w:val="0"/>
          <w:sz w:val="32"/>
          <w:szCs w:val="32"/>
          <w:highlight w:val="none"/>
          <w:lang w:val="en-US" w:eastAsia="zh-CN" w:bidi="ar-SA"/>
        </w:rPr>
        <w:t>。并</w:t>
      </w:r>
      <w:r>
        <w:rPr>
          <w:rFonts w:hint="default" w:ascii="Times New Roman" w:hAnsi="Times New Roman" w:eastAsia="方正仿宋简体" w:cs="Times New Roman"/>
          <w:spacing w:val="0"/>
          <w:kern w:val="0"/>
          <w:sz w:val="32"/>
          <w:szCs w:val="32"/>
          <w:highlight w:val="none"/>
          <w:lang w:val="en-US" w:eastAsia="zh-CN" w:bidi="ar-SA"/>
        </w:rPr>
        <w:t>根据县委、县政府决策部署及重大民生事项要求，对县民政局殡葬改革补助资金项目开展重点项目事前绩效评估</w:t>
      </w:r>
      <w:r>
        <w:rPr>
          <w:rFonts w:hint="eastAsia" w:ascii="Times New Roman" w:hAnsi="Times New Roman" w:eastAsia="方正仿宋简体"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根据评估结果并应用于预算安排。</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32" w:firstLineChars="200"/>
        <w:textAlignment w:val="auto"/>
        <w:rPr>
          <w:rFonts w:hint="default" w:ascii="Times New Roman" w:hAnsi="Times New Roman" w:eastAsia="方正仿宋简体" w:cs="Times New Roman"/>
          <w:spacing w:val="0"/>
          <w:kern w:val="0"/>
          <w:sz w:val="32"/>
          <w:szCs w:val="32"/>
          <w:highlight w:val="none"/>
          <w:lang w:val="en-US" w:eastAsia="zh-CN" w:bidi="ar-SA"/>
        </w:rPr>
      </w:pPr>
      <w:r>
        <w:rPr>
          <w:rFonts w:hint="default" w:ascii="Times New Roman" w:hAnsi="Times New Roman" w:eastAsia="方正楷体简体" w:cs="Times New Roman"/>
          <w:kern w:val="2"/>
          <w:sz w:val="32"/>
          <w:szCs w:val="32"/>
          <w:lang w:val="en-US" w:eastAsia="zh-CN" w:bidi="ar-SA"/>
        </w:rPr>
        <w:t>（二）强化预算绩效目标管理。</w:t>
      </w:r>
      <w:r>
        <w:rPr>
          <w:rFonts w:hint="default" w:ascii="Times New Roman" w:hAnsi="Times New Roman" w:eastAsia="方正仿宋简体" w:cs="Times New Roman"/>
          <w:spacing w:val="0"/>
          <w:kern w:val="0"/>
          <w:sz w:val="32"/>
          <w:szCs w:val="32"/>
          <w:highlight w:val="none"/>
          <w:lang w:val="en-US" w:eastAsia="zh-CN" w:bidi="ar-SA"/>
        </w:rPr>
        <w:t>坚持</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每项支出有目标，无目标不审批预算、不安排拨付资金</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要求，年初下达部门整体支出、本级项目支出、上级转移支付100%纳入绩效目标管理。将绩效目标设置和审核情况作为项目入库和预算安排的前置条件，对未按要求设定绩效目标或绩效目标审核不通过的项目，实行</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一票否决</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，不得纳入项目库，不安排预算资金。具体工作中，严格执行预算项目绩效目标</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三级审核</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制度，推行项目入库评审和绩效目标审核同步进行、绩效流程和项目流程同时送审</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两同步</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，进一步优化审核流程，以绩效目标设置的完整性、可行性等指标评定项目绩效目标优、良、中、差四个等级，有效提升绩效目标编报质量。</w:t>
      </w:r>
    </w:p>
    <w:p>
      <w:pPr>
        <w:keepNext w:val="0"/>
        <w:keepLines w:val="0"/>
        <w:pageBreakBefore w:val="0"/>
        <w:widowControl w:val="0"/>
        <w:numPr>
          <w:ilvl w:val="0"/>
          <w:numId w:val="0"/>
        </w:numPr>
        <w:kinsoku/>
        <w:wordWrap/>
        <w:overflowPunct/>
        <w:topLinePunct w:val="0"/>
        <w:autoSpaceDE/>
        <w:autoSpaceDN/>
        <w:bidi w:val="0"/>
        <w:adjustRightInd/>
        <w:snapToGrid/>
        <w:spacing w:line="536" w:lineRule="exact"/>
        <w:ind w:firstLine="632" w:firstLineChars="200"/>
        <w:textAlignment w:val="auto"/>
        <w:rPr>
          <w:rFonts w:hint="default" w:ascii="Times New Roman" w:hAnsi="Times New Roman" w:eastAsia="方正仿宋简体" w:cs="Times New Roman"/>
          <w:spacing w:val="0"/>
          <w:kern w:val="0"/>
          <w:sz w:val="32"/>
          <w:szCs w:val="32"/>
          <w:highlight w:val="none"/>
          <w:lang w:val="en-US" w:eastAsia="zh-CN" w:bidi="ar-SA"/>
        </w:rPr>
      </w:pPr>
      <w:r>
        <w:rPr>
          <w:rFonts w:hint="default" w:ascii="Times New Roman" w:hAnsi="Times New Roman" w:eastAsia="方正楷体简体" w:cs="Times New Roman"/>
          <w:kern w:val="2"/>
          <w:sz w:val="32"/>
          <w:szCs w:val="32"/>
          <w:lang w:val="en-US" w:eastAsia="zh-CN" w:bidi="ar-SA"/>
        </w:rPr>
        <w:t>（三）严格预算绩效目标运行监控。</w:t>
      </w:r>
      <w:r>
        <w:rPr>
          <w:rFonts w:hint="default" w:ascii="Times New Roman" w:hAnsi="Times New Roman" w:eastAsia="方正仿宋简体" w:cs="Times New Roman"/>
          <w:b/>
          <w:bCs/>
          <w:spacing w:val="0"/>
          <w:kern w:val="0"/>
          <w:sz w:val="32"/>
          <w:szCs w:val="32"/>
          <w:highlight w:val="none"/>
          <w:lang w:val="en-US" w:eastAsia="zh-CN" w:bidi="ar-SA"/>
        </w:rPr>
        <w:t>一是</w:t>
      </w:r>
      <w:r>
        <w:rPr>
          <w:rFonts w:hint="default" w:ascii="Times New Roman" w:hAnsi="Times New Roman" w:eastAsia="方正仿宋简体" w:cs="Times New Roman"/>
          <w:spacing w:val="0"/>
          <w:kern w:val="0"/>
          <w:sz w:val="32"/>
          <w:szCs w:val="32"/>
          <w:highlight w:val="none"/>
          <w:lang w:val="en-US" w:eastAsia="zh-CN" w:bidi="ar-SA"/>
        </w:rPr>
        <w:t>围绕年初制定的预算绩效目标，对纳入预算管理的部门所有县级项目和部门整体收支出，全面开展预算执行情况和绩效目标实现程度</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双监控</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，监控范围100%覆盖所有县级财政资金。</w:t>
      </w:r>
      <w:r>
        <w:rPr>
          <w:rFonts w:hint="default" w:ascii="Times New Roman" w:hAnsi="Times New Roman" w:eastAsia="方正仿宋简体" w:cs="Times New Roman"/>
          <w:b/>
          <w:bCs/>
          <w:spacing w:val="0"/>
          <w:kern w:val="0"/>
          <w:sz w:val="32"/>
          <w:szCs w:val="32"/>
          <w:highlight w:val="none"/>
          <w:lang w:val="en-US" w:eastAsia="zh-CN" w:bidi="ar-SA"/>
        </w:rPr>
        <w:t>二是</w:t>
      </w:r>
      <w:r>
        <w:rPr>
          <w:rFonts w:hint="default" w:ascii="Times New Roman" w:hAnsi="Times New Roman" w:eastAsia="方正仿宋简体" w:cs="Times New Roman"/>
          <w:spacing w:val="0"/>
          <w:kern w:val="0"/>
          <w:sz w:val="32"/>
          <w:szCs w:val="32"/>
          <w:highlight w:val="none"/>
          <w:lang w:val="en-US" w:eastAsia="zh-CN" w:bidi="ar-SA"/>
        </w:rPr>
        <w:t>采取</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部门自行监控+财政重点监控</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方式，按照</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全面监控、突出重点</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原则，对绩效目标实现程度和预算执行进度实施</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全覆盖、全时段</w:t>
      </w:r>
      <w:r>
        <w:rPr>
          <w:rFonts w:hint="eastAsia" w:ascii="Times New Roman" w:hAnsi="Times New Roman" w:cs="Times New Roman"/>
          <w:spacing w:val="0"/>
          <w:kern w:val="0"/>
          <w:sz w:val="32"/>
          <w:szCs w:val="32"/>
          <w:highlight w:val="none"/>
          <w:lang w:val="en-US" w:eastAsia="zh-CN" w:bidi="ar-SA"/>
        </w:rPr>
        <w:t>”</w:t>
      </w:r>
      <w:r>
        <w:rPr>
          <w:rFonts w:hint="default" w:ascii="Times New Roman" w:hAnsi="Times New Roman" w:eastAsia="方正仿宋简体" w:cs="Times New Roman"/>
          <w:spacing w:val="0"/>
          <w:kern w:val="0"/>
          <w:sz w:val="32"/>
          <w:szCs w:val="32"/>
          <w:highlight w:val="none"/>
          <w:lang w:val="en-US" w:eastAsia="zh-CN" w:bidi="ar-SA"/>
        </w:rPr>
        <w:t>监控，由部门对年初批复至各单位的整体支出和县级项目支出开展实时自行监控。依托一体化系统，每季度开展绩效运行重点监控。</w:t>
      </w:r>
      <w:r>
        <w:rPr>
          <w:rFonts w:hint="default" w:ascii="Times New Roman" w:hAnsi="Times New Roman" w:eastAsia="方正仿宋简体" w:cs="Times New Roman"/>
          <w:b/>
          <w:bCs/>
          <w:spacing w:val="0"/>
          <w:kern w:val="0"/>
          <w:sz w:val="32"/>
          <w:szCs w:val="32"/>
          <w:highlight w:val="none"/>
          <w:lang w:val="en-US" w:eastAsia="zh-CN" w:bidi="ar-SA"/>
        </w:rPr>
        <w:t>三是</w:t>
      </w:r>
      <w:r>
        <w:rPr>
          <w:rFonts w:hint="default" w:ascii="Times New Roman" w:hAnsi="Times New Roman" w:eastAsia="方正仿宋简体" w:cs="Times New Roman"/>
          <w:spacing w:val="0"/>
          <w:kern w:val="0"/>
          <w:sz w:val="32"/>
          <w:szCs w:val="32"/>
          <w:highlight w:val="none"/>
          <w:lang w:val="en-US" w:eastAsia="zh-CN" w:bidi="ar-SA"/>
        </w:rPr>
        <w:t>坚持每季度末定期下发各季度绩效目标运行监控结果通报，提出存在问题及整改建议，实行分类管理，压实工作责任，建立问题整改台账，监控发现的一般问题督促立即整改，重大问题及时召开专题会议会商解决，存在严重问题的项目暂缓或停止预算拨款，实现精准销账、精细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二、2025年重大政策和重点项目等绩效目标情况说明</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姚安县地方政府性债务还本付息。</w:t>
      </w:r>
      <w:r>
        <w:rPr>
          <w:rFonts w:hint="eastAsia" w:cs="Times New Roman"/>
          <w:lang w:val="en-US" w:eastAsia="zh-CN"/>
        </w:rPr>
        <w:t>按时偿还2025年地方政府性债务到期本息22092万元，防止债务风险“爆雷”，有效防范化解地方政府性债务风险，守牢基层财政运行风险。</w:t>
      </w:r>
    </w:p>
    <w:p>
      <w:pPr>
        <w:keepNext w:val="0"/>
        <w:keepLines w:val="0"/>
        <w:pageBreakBefore w:val="0"/>
        <w:widowControl w:val="0"/>
        <w:numPr>
          <w:numId w:val="0"/>
        </w:numPr>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方正楷体简体" w:hAnsi="方正楷体简体" w:eastAsia="方正楷体简体" w:cs="方正楷体简体"/>
          <w:lang w:val="en-US" w:eastAsia="zh-CN"/>
        </w:rPr>
        <w:t>（二）姚安县2025年项目前期工作经费。</w:t>
      </w:r>
      <w:r>
        <w:rPr>
          <w:rFonts w:hint="eastAsia" w:ascii="Times New Roman" w:hAnsi="Times New Roman" w:cs="Times New Roman"/>
          <w:lang w:val="en-US" w:eastAsia="zh-CN"/>
        </w:rPr>
        <w:t>根据《楚雄州重点建设项目州级前期费管理办法》和中共姚安县委、姚安县人民政府确定的重要规划和重要工作，加快推进省、州、县重点项目规划设计等前期工作，2025年需安排项目前期工作经费1000万元，保障重点项目建设有序推进。</w:t>
      </w:r>
    </w:p>
    <w:p>
      <w:pPr>
        <w:pageBreakBefore w:val="0"/>
        <w:kinsoku/>
        <w:wordWrap/>
        <w:overflowPunct/>
        <w:topLinePunct w:val="0"/>
        <w:autoSpaceDE w:val="0"/>
        <w:autoSpaceDN w:val="0"/>
        <w:bidi w:val="0"/>
        <w:adjustRightInd w:val="0"/>
        <w:spacing w:line="570" w:lineRule="exact"/>
        <w:ind w:right="0" w:rightChars="0" w:firstLine="632" w:firstLineChars="200"/>
        <w:jc w:val="left"/>
        <w:textAlignment w:val="auto"/>
        <w:rPr>
          <w:rFonts w:hint="default"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kern w:val="2"/>
          <w:sz w:val="32"/>
          <w:szCs w:val="22"/>
          <w:lang w:val="en-US" w:eastAsia="zh-CN" w:bidi="ar-SA"/>
        </w:rPr>
        <w:t>（三）姚安县棚户区改造及周边基础设施完善项目（专项债券项目）。</w:t>
      </w:r>
      <w:r>
        <w:rPr>
          <w:rFonts w:hint="eastAsia" w:ascii="Times New Roman" w:hAnsi="Times New Roman" w:eastAsia="方正仿宋简体" w:cs="Times New Roman"/>
          <w:kern w:val="2"/>
          <w:sz w:val="32"/>
          <w:szCs w:val="22"/>
          <w:lang w:val="en-US" w:eastAsia="zh-CN" w:bidi="ar-SA"/>
        </w:rPr>
        <w:t>项目改造范围为姚安县杨家巷片区、梅葛广场片区、金河公园片区、朱家村片区、上、中、下西路片区</w:t>
      </w:r>
      <w:r>
        <w:rPr>
          <w:rFonts w:hint="eastAsia" w:hAnsi="Times New Roman"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其中</w:t>
      </w:r>
      <w:r>
        <w:rPr>
          <w:rFonts w:hint="eastAsia" w:hAnsi="Times New Roman"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包括县城东西南北四条街。主要为改翻扩建及相应范围内的基础设施建设内容，改造棚户区范围内住户3126户，建筑面积58万平方米。建设配套基础设施：棚户区内部道路升级改造73670平方米，设置停车位4000个，充电桩400个，供电线路15公里，供水管网改造5.7公里；雨污水管网改造2.4公里；消防管网6公里；垃圾收储运设施各片区50套。棚户区改造更新部分：对实施范围区域内棚户区城中村进行提升改造（含门窗更换，屋面修复，喷涂建筑外墙漆等，改造社区服务中心一处），共计3126户，总改造面积约为580464㎡，其中第一年改造1192户，总改造面积约为185748.48㎡。城镇基础设施完善部分：对项目范围内进行道路升级改造、供水管网改造、雨污水管网改造、周边环境打造等。以及县城东西南北四条街改造提升，包括：道路升级改造及打造步行街、街道两侧房屋风貌改造，打造仿古风格</w:t>
      </w:r>
      <w:r>
        <w:rPr>
          <w:rFonts w:hint="eastAsia" w:cs="Times New Roman"/>
          <w:kern w:val="2"/>
          <w:sz w:val="32"/>
          <w:szCs w:val="22"/>
          <w:lang w:val="en-US" w:eastAsia="zh-CN" w:bidi="ar-SA"/>
        </w:rPr>
        <w:t>及其</w:t>
      </w:r>
      <w:r>
        <w:rPr>
          <w:rFonts w:hint="eastAsia" w:ascii="Times New Roman" w:hAnsi="Times New Roman" w:eastAsia="方正仿宋简体" w:cs="Times New Roman"/>
          <w:kern w:val="2"/>
          <w:sz w:val="32"/>
          <w:szCs w:val="22"/>
          <w:lang w:val="en-US" w:eastAsia="zh-CN" w:bidi="ar-SA"/>
        </w:rPr>
        <w:t>他配套设施建设等。该项目总投资37370万元，其中</w:t>
      </w:r>
      <w:r>
        <w:rPr>
          <w:rFonts w:hint="eastAsia" w:ascii="Times New Roman" w:eastAsia="方正仿宋简体"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资本金18389万元，资本金由财政预算安排；通过发行专项债券融资19000万元。姚安县棚户区改造及周边基础设施完善项目的建设，可改善居民的生活水平，美化县城环境，改善居民的生活环境，有力促进姚安县的社会经济发展，保障人民群众的身体健康，提高人民群众的生活质量。项目的建设实施，将直接带动当地工程建筑业、运输业等相关行业，带动大批的剩余</w:t>
      </w:r>
      <w:r>
        <w:rPr>
          <w:rFonts w:hint="eastAsia" w:cs="Times New Roman"/>
          <w:kern w:val="2"/>
          <w:sz w:val="32"/>
          <w:szCs w:val="22"/>
          <w:lang w:val="en-US" w:eastAsia="zh-CN" w:bidi="ar-SA"/>
        </w:rPr>
        <w:t>劳动</w:t>
      </w:r>
      <w:r>
        <w:rPr>
          <w:rFonts w:hint="eastAsia" w:ascii="Times New Roman" w:hAnsi="Times New Roman" w:eastAsia="方正仿宋简体" w:cs="Times New Roman"/>
          <w:kern w:val="2"/>
          <w:sz w:val="32"/>
          <w:szCs w:val="22"/>
          <w:lang w:val="en-US" w:eastAsia="zh-CN" w:bidi="ar-SA"/>
        </w:rPr>
        <w:t>力就业，并全面带动姚安县第二、第三产业的提升，有力地拉动内需；增加财政收入，项目的各项财务指标良好，有较好的经济效益。</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方正仿宋简体" w:cs="Times New Roman"/>
          <w:kern w:val="2"/>
          <w:sz w:val="32"/>
          <w:szCs w:val="22"/>
          <w:lang w:val="en-US" w:eastAsia="zh-CN" w:bidi="ar-SA"/>
        </w:rPr>
      </w:pPr>
      <w:r>
        <w:rPr>
          <w:rFonts w:hint="eastAsia" w:ascii="方正楷体简体" w:hAnsi="方正楷体简体" w:eastAsia="方正楷体简体" w:cs="方正楷体简体"/>
          <w:lang w:val="en-US" w:eastAsia="zh-CN"/>
        </w:rPr>
        <w:t>（四）姚安县城乡环卫一体化项目经费。</w:t>
      </w:r>
      <w:r>
        <w:rPr>
          <w:rFonts w:hint="eastAsia" w:ascii="Times New Roman" w:hAnsi="Times New Roman" w:eastAsia="方正仿宋简体" w:cs="Times New Roman"/>
          <w:kern w:val="2"/>
          <w:sz w:val="32"/>
          <w:szCs w:val="22"/>
          <w:lang w:val="en-US" w:eastAsia="zh-CN" w:bidi="ar-SA"/>
        </w:rPr>
        <w:t>有效改善城乡人居环境、卫生面貌和人民群众的生活条件，全面开展城乡环卫一体化工程建设，通过城乡联动，以城镇带动农村，提高环境卫生管理能力，有效解决城乡垃圾收运系统问题，改变人居环境</w:t>
      </w:r>
      <w:r>
        <w:rPr>
          <w:rFonts w:hint="eastAsia"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脏、乱、差</w:t>
      </w:r>
      <w:r>
        <w:rPr>
          <w:rFonts w:hint="eastAsia" w:cs="Times New Roman"/>
          <w:kern w:val="2"/>
          <w:sz w:val="32"/>
          <w:szCs w:val="22"/>
          <w:lang w:val="en-US" w:eastAsia="zh-CN" w:bidi="ar-SA"/>
        </w:rPr>
        <w:t>”</w:t>
      </w:r>
      <w:r>
        <w:rPr>
          <w:rFonts w:hint="eastAsia" w:ascii="Times New Roman" w:hAnsi="Times New Roman" w:eastAsia="方正仿宋简体" w:cs="Times New Roman"/>
          <w:kern w:val="2"/>
          <w:sz w:val="32"/>
          <w:szCs w:val="22"/>
          <w:lang w:val="en-US" w:eastAsia="zh-CN" w:bidi="ar-SA"/>
        </w:rPr>
        <w:t>的局面，净化洁化美化人居环境，促进社会经济协调发展。建设栋川、光禄垃圾处置终端，年底投入运营。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方正楷体简体" w:hAnsi="方正楷体简体" w:eastAsia="方正楷体简体" w:cs="方正楷体简体"/>
          <w:lang w:val="en-US" w:eastAsia="zh-CN"/>
        </w:rPr>
        <w:t>（五）农村危房改造和抗震安居工程省级统贷项目贷款本息专项资金。</w:t>
      </w:r>
      <w:r>
        <w:rPr>
          <w:rFonts w:hint="eastAsia" w:ascii="Times New Roman" w:hAnsi="Times New Roman" w:cs="Times New Roman"/>
          <w:lang w:val="en-US" w:eastAsia="zh-CN"/>
        </w:rPr>
        <w:t>按时足额偿付2025年农危改省级统贷项目资金贷款本息457.67万元。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cs="Times New Roman"/>
          <w:lang w:val="en-US" w:eastAsia="zh-CN"/>
        </w:rPr>
      </w:pPr>
      <w:r>
        <w:rPr>
          <w:rFonts w:hint="eastAsia" w:ascii="方正楷体简体" w:hAnsi="方正楷体简体" w:eastAsia="方正楷体简体" w:cs="方正楷体简体"/>
          <w:lang w:val="en-US" w:eastAsia="zh-CN"/>
        </w:rPr>
        <w:t>（六）姚安县县级配套三三制专项资金。</w:t>
      </w:r>
      <w:r>
        <w:rPr>
          <w:rFonts w:hint="eastAsia" w:ascii="Times New Roman" w:hAnsi="Times New Roman" w:cs="Times New Roman"/>
          <w:lang w:val="en-US" w:eastAsia="zh-CN"/>
        </w:rPr>
        <w:t>通过每年森林防火专项资金的投入，将加强森林防火预防和扑救，全面提升森林火灾的综合防控能力，有力地保护森林资源和人民群众生命财产安全。完成省、州人民政府下达的森林火灾防控预期成效具体为：年森林火灾发生率控制在6.5次/10万公顷以下；年森林火灾受害率控制在1‰以内；年森林火灾当日扑灭率不低于98%。</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val="en-US" w:eastAsia="zh-CN"/>
        </w:rPr>
      </w:pPr>
      <w:r>
        <w:rPr>
          <w:rFonts w:hint="eastAsia" w:ascii="方正楷体简体" w:hAnsi="方正楷体简体" w:eastAsia="方正楷体简体" w:cs="方正楷体简体"/>
          <w:lang w:val="en-US" w:eastAsia="zh-CN"/>
        </w:rPr>
        <w:t>（七）姚安县招商引资工作经费。</w:t>
      </w:r>
      <w:r>
        <w:rPr>
          <w:rFonts w:hint="eastAsia" w:ascii="Times New Roman" w:hAnsi="Times New Roman" w:cs="Times New Roman"/>
          <w:lang w:val="en-US" w:eastAsia="zh-CN"/>
        </w:rPr>
        <w:t>保障各招商团所需经费，进一步提升姚安县招商引资质量水平，促进姚安县高原特色现代休闲观光农业、文化旅游业、绿色食品加工业和新能源产业的深度发展。</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（八）姚安县特岗教师工资县级补助资金。</w:t>
      </w:r>
      <w:r>
        <w:rPr>
          <w:rFonts w:hint="eastAsia" w:cs="Times New Roman"/>
          <w:lang w:val="en-US" w:eastAsia="zh-CN"/>
        </w:rPr>
        <w:t>落实在岗特岗教师工资，加强农村教师队伍建设，扩充乡村教师补助渠道，有效保障特岗教师工资，为特岗教师创造良好的工作环境，提升教学质量。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cs="Times New Roman"/>
          <w:lang w:val="en-US" w:eastAsia="zh-CN"/>
        </w:rPr>
      </w:pPr>
      <w:r>
        <w:rPr>
          <w:rFonts w:hint="eastAsia" w:ascii="方正楷体简体" w:hAnsi="方正楷体简体" w:eastAsia="方正楷体简体" w:cs="方正楷体简体"/>
          <w:lang w:val="en-US" w:eastAsia="zh-CN"/>
        </w:rPr>
        <w:t>（九）</w:t>
      </w:r>
      <w:r>
        <w:rPr>
          <w:rFonts w:hint="default" w:ascii="方正楷体简体" w:hAnsi="方正楷体简体" w:eastAsia="方正楷体简体" w:cs="方正楷体简体"/>
          <w:lang w:val="en-US" w:eastAsia="zh-CN"/>
        </w:rPr>
        <w:t>姚安县综合托育服务指导中心建设项目专项资金（超长期国债）</w:t>
      </w:r>
      <w:r>
        <w:rPr>
          <w:rFonts w:hint="eastAsia" w:ascii="方正楷体简体" w:hAnsi="方正楷体简体" w:eastAsia="方正楷体简体" w:cs="方正楷体简体"/>
          <w:lang w:val="en-US" w:eastAsia="zh-CN"/>
        </w:rPr>
        <w:t>。</w:t>
      </w:r>
      <w:r>
        <w:rPr>
          <w:rFonts w:hint="eastAsia" w:cs="Times New Roman"/>
          <w:lang w:val="en-US" w:eastAsia="zh-CN"/>
        </w:rPr>
        <w:t>项目建设将完善妇女儿童医疗设施，扩大普惠性托育服务供给，进一步改善妇幼托育服务基础设施条件，提升入院人员就诊率，提高孕产妇健康服务管理和妇女儿童相关疾病的临床治疗能力，提高产前诊断能力，提升托育服务水平，完善普惠年度总体目标、普惠托育服务体系，促进生育水平适度回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lang w:val="en-US" w:eastAsia="zh-CN"/>
        </w:rPr>
      </w:pPr>
      <w:r>
        <w:rPr>
          <w:rFonts w:hint="eastAsia" w:ascii="方正楷体简体" w:hAnsi="方正楷体简体" w:eastAsia="方正楷体简体" w:cs="方正楷体简体"/>
          <w:lang w:val="en-US" w:eastAsia="zh-CN"/>
        </w:rPr>
        <w:t>（十）</w:t>
      </w:r>
      <w:r>
        <w:rPr>
          <w:rFonts w:hint="default" w:ascii="方正楷体简体" w:hAnsi="方正楷体简体" w:eastAsia="方正楷体简体" w:cs="方正楷体简体"/>
          <w:lang w:val="en-US" w:eastAsia="zh-CN"/>
        </w:rPr>
        <w:t>姚安县再生资源绿色分拣中心建设项目找机会（超长期国债）</w:t>
      </w:r>
      <w:r>
        <w:rPr>
          <w:rFonts w:hint="eastAsia" w:ascii="方正楷体简体" w:hAnsi="方正楷体简体" w:eastAsia="方正楷体简体" w:cs="方正楷体简体"/>
          <w:lang w:val="en-US" w:eastAsia="zh-CN"/>
        </w:rPr>
        <w:t>。</w:t>
      </w:r>
      <w:r>
        <w:rPr>
          <w:rFonts w:hint="eastAsia" w:ascii="Times New Roman" w:hAnsi="Times New Roman" w:cs="Times New Roman"/>
          <w:lang w:val="en-US" w:eastAsia="zh-CN"/>
        </w:rPr>
        <w:t>根据中央、省州关于推进大规模设备更新和消费品以旧换新资源循环利用回收体系建设的部署要求，结合姚安花卉、蔬菜等特色产业发展，通过规范再生资源回收、分拣，实现再生资源从“废品买卖型”向“环境服务型”转型升级，运用互联网、大数据和人工智能开展线上回收等新型服务，高标准引领再生资源行业规范示范建设及投资运营，新建占地5000平方米以上的再生资源绿色分拣中心和覆盖全县的再生资源回收站点，建立姚安县再生资源信息网络平台，购置回收设施设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简体" w:cs="Times New Roman"/>
          <w:lang w:val="en-US" w:eastAsia="zh-CN"/>
        </w:rPr>
      </w:pPr>
      <w:r>
        <w:rPr>
          <w:rFonts w:hint="eastAsia" w:ascii="方正楷体简体" w:hAnsi="方正楷体简体" w:eastAsia="方正楷体简体" w:cs="方正楷体简体"/>
          <w:lang w:val="en-US" w:eastAsia="zh-CN"/>
        </w:rPr>
        <w:t>（十一）姚安县农村公路养护县级配套资金。</w:t>
      </w:r>
      <w:r>
        <w:rPr>
          <w:rFonts w:hint="eastAsia" w:cs="Times New Roman"/>
          <w:lang w:val="en-US" w:eastAsia="zh-CN"/>
        </w:rPr>
        <w:t>严格按照省州县文件要求，实现农村公路“畅、安、舒、美”的管养工作，做好农村公路养护，有效减少消除安全隐患。县道养护公路里程（公里）291.382公里、乡道养护公路里程（公里）446.332公里、村道养护公路里程（公里）483.959公里。</w:t>
      </w:r>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056" w:firstLineChars="16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姚安县财政局       </w:t>
      </w:r>
    </w:p>
    <w:p>
      <w:pPr>
        <w:keepNext w:val="0"/>
        <w:keepLines w:val="0"/>
        <w:pageBreakBefore w:val="0"/>
        <w:widowControl w:val="0"/>
        <w:kinsoku/>
        <w:wordWrap/>
        <w:overflowPunct/>
        <w:topLinePunct w:val="0"/>
        <w:autoSpaceDE/>
        <w:autoSpaceDN/>
        <w:bidi w:val="0"/>
        <w:adjustRightInd/>
        <w:snapToGrid/>
        <w:spacing w:line="579" w:lineRule="exact"/>
        <w:ind w:firstLine="4740" w:firstLineChars="15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202</w:t>
      </w:r>
      <w:r>
        <w:rPr>
          <w:rFonts w:hint="eastAsia" w:cs="Times New Roman"/>
          <w:lang w:val="en-US" w:eastAsia="zh-CN"/>
        </w:rPr>
        <w:t>5</w:t>
      </w:r>
      <w:r>
        <w:rPr>
          <w:rFonts w:hint="default" w:ascii="Times New Roman" w:hAnsi="Times New Roman" w:eastAsia="方正仿宋简体" w:cs="Times New Roman"/>
          <w:lang w:val="en-US" w:eastAsia="zh-CN"/>
        </w:rPr>
        <w:t>年</w:t>
      </w:r>
      <w:r>
        <w:rPr>
          <w:rFonts w:hint="eastAsia" w:cs="Times New Roman"/>
          <w:lang w:val="en-US" w:eastAsia="zh-CN"/>
        </w:rPr>
        <w:t>4</w:t>
      </w:r>
      <w:r>
        <w:rPr>
          <w:rFonts w:hint="default" w:ascii="Times New Roman" w:hAnsi="Times New Roman" w:eastAsia="方正仿宋简体" w:cs="Times New Roman"/>
          <w:lang w:val="en-US" w:eastAsia="zh-CN"/>
        </w:rPr>
        <w:t>月</w:t>
      </w:r>
      <w:r>
        <w:rPr>
          <w:rFonts w:hint="eastAsia" w:cs="Times New Roman"/>
          <w:lang w:val="en-US" w:eastAsia="zh-CN"/>
        </w:rPr>
        <w:t>1</w:t>
      </w:r>
      <w:bookmarkStart w:id="0" w:name="_GoBack"/>
      <w:bookmarkEnd w:id="0"/>
      <w:r>
        <w:rPr>
          <w:rFonts w:hint="eastAsia" w:cs="Times New Roman"/>
          <w:lang w:val="en-US" w:eastAsia="zh-CN"/>
        </w:rPr>
        <w:t>6</w:t>
      </w:r>
      <w:r>
        <w:rPr>
          <w:rFonts w:hint="default" w:ascii="Times New Roman" w:hAnsi="Times New Roman" w:eastAsia="方正仿宋简体" w:cs="Times New Roman"/>
          <w:lang w:val="en-US" w:eastAsia="zh-CN"/>
        </w:rPr>
        <w:t>日</w:t>
      </w:r>
    </w:p>
    <w:sectPr>
      <w:footerReference r:id="rId3" w:type="default"/>
      <w:pgSz w:w="11906" w:h="16838"/>
      <w:pgMar w:top="2041" w:right="1531" w:bottom="1985" w:left="1531" w:header="851" w:footer="1418"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embedRegular r:id="rId1" w:fontKey="{A2D164F1-26D0-429D-9C34-64DF4B06E947}"/>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081B267B-C10B-45CD-A6A4-F2FB56AA7593}"/>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7BD1E6E4-2343-4A58-9AA1-361D30E88223}"/>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3"/>
        <w:sz w:val="28"/>
        <w:szCs w:val="28"/>
      </w:rPr>
    </w:pPr>
    <w:r>
      <w:rPr>
        <w:rStyle w:val="13"/>
        <w:rFonts w:hint="eastAsia"/>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1</w:t>
    </w:r>
    <w:r>
      <w:rPr>
        <w:rStyle w:val="13"/>
        <w:sz w:val="28"/>
        <w:szCs w:val="28"/>
      </w:rPr>
      <w:fldChar w:fldCharType="end"/>
    </w:r>
    <w:r>
      <w:rPr>
        <w:rStyle w:val="13"/>
        <w:rFonts w:hint="eastAsia"/>
        <w:sz w:val="28"/>
        <w:szCs w:val="28"/>
      </w:rPr>
      <w:t xml:space="preserve"> —</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2F09A"/>
    <w:multiLevelType w:val="singleLevel"/>
    <w:tmpl w:val="2EE2F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3ZGI5ZDVjMTRiNWFkM2QyNjAxM2E3ODMwNTA5MzYifQ=="/>
  </w:docVars>
  <w:rsids>
    <w:rsidRoot w:val="00C8269E"/>
    <w:rsid w:val="0001548A"/>
    <w:rsid w:val="00023BE9"/>
    <w:rsid w:val="000314BB"/>
    <w:rsid w:val="00077C3A"/>
    <w:rsid w:val="00085299"/>
    <w:rsid w:val="000C6C54"/>
    <w:rsid w:val="000D3C45"/>
    <w:rsid w:val="000F55DC"/>
    <w:rsid w:val="00101BEC"/>
    <w:rsid w:val="0010612E"/>
    <w:rsid w:val="00116DA2"/>
    <w:rsid w:val="00135016"/>
    <w:rsid w:val="00155CEC"/>
    <w:rsid w:val="00176903"/>
    <w:rsid w:val="001812AD"/>
    <w:rsid w:val="0019634B"/>
    <w:rsid w:val="001A47A0"/>
    <w:rsid w:val="001C08E8"/>
    <w:rsid w:val="001D297F"/>
    <w:rsid w:val="001D2A97"/>
    <w:rsid w:val="001F7CF6"/>
    <w:rsid w:val="00207560"/>
    <w:rsid w:val="00236DC2"/>
    <w:rsid w:val="002415B3"/>
    <w:rsid w:val="00250B29"/>
    <w:rsid w:val="00264104"/>
    <w:rsid w:val="0029754D"/>
    <w:rsid w:val="002C328C"/>
    <w:rsid w:val="003128D1"/>
    <w:rsid w:val="003651D6"/>
    <w:rsid w:val="00390A6A"/>
    <w:rsid w:val="003A5E00"/>
    <w:rsid w:val="003B208A"/>
    <w:rsid w:val="003B76CD"/>
    <w:rsid w:val="003C1753"/>
    <w:rsid w:val="003D070F"/>
    <w:rsid w:val="003D7382"/>
    <w:rsid w:val="003E6781"/>
    <w:rsid w:val="004039CC"/>
    <w:rsid w:val="004215B0"/>
    <w:rsid w:val="00453DEF"/>
    <w:rsid w:val="004847A8"/>
    <w:rsid w:val="00494246"/>
    <w:rsid w:val="004D5D0E"/>
    <w:rsid w:val="004E398A"/>
    <w:rsid w:val="005317DC"/>
    <w:rsid w:val="00544D1D"/>
    <w:rsid w:val="005739E4"/>
    <w:rsid w:val="00594B23"/>
    <w:rsid w:val="0059790C"/>
    <w:rsid w:val="005A5A51"/>
    <w:rsid w:val="005B50E2"/>
    <w:rsid w:val="00603A9E"/>
    <w:rsid w:val="006317EA"/>
    <w:rsid w:val="00641799"/>
    <w:rsid w:val="006417AF"/>
    <w:rsid w:val="0064442D"/>
    <w:rsid w:val="006529C7"/>
    <w:rsid w:val="00661299"/>
    <w:rsid w:val="00670C98"/>
    <w:rsid w:val="006B0F60"/>
    <w:rsid w:val="006B3AF9"/>
    <w:rsid w:val="006E2B1D"/>
    <w:rsid w:val="007350B3"/>
    <w:rsid w:val="00750F28"/>
    <w:rsid w:val="007A5E2F"/>
    <w:rsid w:val="007A7821"/>
    <w:rsid w:val="007B6752"/>
    <w:rsid w:val="007C58E8"/>
    <w:rsid w:val="007E36BF"/>
    <w:rsid w:val="007F2175"/>
    <w:rsid w:val="008026C8"/>
    <w:rsid w:val="00806E4E"/>
    <w:rsid w:val="0084184C"/>
    <w:rsid w:val="00856485"/>
    <w:rsid w:val="00896040"/>
    <w:rsid w:val="008A720B"/>
    <w:rsid w:val="008B2A0C"/>
    <w:rsid w:val="008B2F13"/>
    <w:rsid w:val="008B3EC1"/>
    <w:rsid w:val="008B5998"/>
    <w:rsid w:val="008B6BF6"/>
    <w:rsid w:val="008E088D"/>
    <w:rsid w:val="008E37FD"/>
    <w:rsid w:val="008E5740"/>
    <w:rsid w:val="008F3FEC"/>
    <w:rsid w:val="00940F6B"/>
    <w:rsid w:val="0096278F"/>
    <w:rsid w:val="009669C8"/>
    <w:rsid w:val="00976591"/>
    <w:rsid w:val="009916B3"/>
    <w:rsid w:val="009A40F3"/>
    <w:rsid w:val="009A7B05"/>
    <w:rsid w:val="009F565E"/>
    <w:rsid w:val="00A269F1"/>
    <w:rsid w:val="00A525FC"/>
    <w:rsid w:val="00AC2FE4"/>
    <w:rsid w:val="00AE4FA7"/>
    <w:rsid w:val="00B03C5D"/>
    <w:rsid w:val="00B52765"/>
    <w:rsid w:val="00B52AAA"/>
    <w:rsid w:val="00B55B5B"/>
    <w:rsid w:val="00B67213"/>
    <w:rsid w:val="00BA585C"/>
    <w:rsid w:val="00BA6293"/>
    <w:rsid w:val="00BC172A"/>
    <w:rsid w:val="00BC6128"/>
    <w:rsid w:val="00BC6BF3"/>
    <w:rsid w:val="00BE5A2D"/>
    <w:rsid w:val="00C11CED"/>
    <w:rsid w:val="00C31438"/>
    <w:rsid w:val="00C3423C"/>
    <w:rsid w:val="00C50455"/>
    <w:rsid w:val="00C76B2B"/>
    <w:rsid w:val="00C8269E"/>
    <w:rsid w:val="00CF0A55"/>
    <w:rsid w:val="00D37765"/>
    <w:rsid w:val="00D6449B"/>
    <w:rsid w:val="00D87E34"/>
    <w:rsid w:val="00DB3757"/>
    <w:rsid w:val="00DB6FC6"/>
    <w:rsid w:val="00DC7F6A"/>
    <w:rsid w:val="00DD6258"/>
    <w:rsid w:val="00DD75F1"/>
    <w:rsid w:val="00DD7CCD"/>
    <w:rsid w:val="00E01E1C"/>
    <w:rsid w:val="00E01F9B"/>
    <w:rsid w:val="00E06295"/>
    <w:rsid w:val="00E07C5A"/>
    <w:rsid w:val="00E11738"/>
    <w:rsid w:val="00E17D99"/>
    <w:rsid w:val="00E33BCA"/>
    <w:rsid w:val="00E40D4D"/>
    <w:rsid w:val="00E42586"/>
    <w:rsid w:val="00E525EE"/>
    <w:rsid w:val="00E76AD6"/>
    <w:rsid w:val="00E86AFD"/>
    <w:rsid w:val="00EB3D44"/>
    <w:rsid w:val="00EF4E49"/>
    <w:rsid w:val="00F274CC"/>
    <w:rsid w:val="00F36BEB"/>
    <w:rsid w:val="00F429F2"/>
    <w:rsid w:val="00F50A92"/>
    <w:rsid w:val="00F57540"/>
    <w:rsid w:val="00F57BFE"/>
    <w:rsid w:val="00F816BF"/>
    <w:rsid w:val="00F97556"/>
    <w:rsid w:val="00FB09E8"/>
    <w:rsid w:val="00FC3C26"/>
    <w:rsid w:val="02BB02F7"/>
    <w:rsid w:val="03777EA4"/>
    <w:rsid w:val="0589456A"/>
    <w:rsid w:val="05E74CA4"/>
    <w:rsid w:val="06C65465"/>
    <w:rsid w:val="08247354"/>
    <w:rsid w:val="08307962"/>
    <w:rsid w:val="08681018"/>
    <w:rsid w:val="0A654821"/>
    <w:rsid w:val="0BB43AB1"/>
    <w:rsid w:val="0BCD6CF5"/>
    <w:rsid w:val="0D240006"/>
    <w:rsid w:val="0DC718EE"/>
    <w:rsid w:val="0F50008C"/>
    <w:rsid w:val="0F7C77B6"/>
    <w:rsid w:val="100174C2"/>
    <w:rsid w:val="10072F76"/>
    <w:rsid w:val="125D56CB"/>
    <w:rsid w:val="127E70B2"/>
    <w:rsid w:val="1499607D"/>
    <w:rsid w:val="159F1A79"/>
    <w:rsid w:val="16335ABC"/>
    <w:rsid w:val="16CA57F7"/>
    <w:rsid w:val="17AD169F"/>
    <w:rsid w:val="17D53728"/>
    <w:rsid w:val="18796951"/>
    <w:rsid w:val="189A5AEC"/>
    <w:rsid w:val="18CB7B53"/>
    <w:rsid w:val="19C12AAD"/>
    <w:rsid w:val="1D70292F"/>
    <w:rsid w:val="1DFC06D5"/>
    <w:rsid w:val="1EEE33FE"/>
    <w:rsid w:val="1F476DC4"/>
    <w:rsid w:val="1F976D64"/>
    <w:rsid w:val="203B4E33"/>
    <w:rsid w:val="21BB63F7"/>
    <w:rsid w:val="22D43695"/>
    <w:rsid w:val="253D02E4"/>
    <w:rsid w:val="29AF0971"/>
    <w:rsid w:val="2A694EB9"/>
    <w:rsid w:val="2B0C1C39"/>
    <w:rsid w:val="2B8E60C2"/>
    <w:rsid w:val="2C8E720A"/>
    <w:rsid w:val="2CED1DA4"/>
    <w:rsid w:val="2E571690"/>
    <w:rsid w:val="2F2B4AEF"/>
    <w:rsid w:val="2F411063"/>
    <w:rsid w:val="332E5038"/>
    <w:rsid w:val="33532B1C"/>
    <w:rsid w:val="35956531"/>
    <w:rsid w:val="369B20D1"/>
    <w:rsid w:val="386F68DF"/>
    <w:rsid w:val="38E8134B"/>
    <w:rsid w:val="3AAA5E31"/>
    <w:rsid w:val="3B313D18"/>
    <w:rsid w:val="3BA0173E"/>
    <w:rsid w:val="3BFB0E51"/>
    <w:rsid w:val="3E496567"/>
    <w:rsid w:val="3FF22866"/>
    <w:rsid w:val="407637A6"/>
    <w:rsid w:val="414263B1"/>
    <w:rsid w:val="422E7D2A"/>
    <w:rsid w:val="42E330A9"/>
    <w:rsid w:val="44CE4D4B"/>
    <w:rsid w:val="46525E1B"/>
    <w:rsid w:val="47D40A0D"/>
    <w:rsid w:val="491C0C40"/>
    <w:rsid w:val="4BCD765D"/>
    <w:rsid w:val="4F680C45"/>
    <w:rsid w:val="4F725324"/>
    <w:rsid w:val="507B22FE"/>
    <w:rsid w:val="508931F0"/>
    <w:rsid w:val="50EE4D88"/>
    <w:rsid w:val="50F5024E"/>
    <w:rsid w:val="51697633"/>
    <w:rsid w:val="543F4D8A"/>
    <w:rsid w:val="595A013A"/>
    <w:rsid w:val="5984533C"/>
    <w:rsid w:val="5A1E7AB0"/>
    <w:rsid w:val="5A847568"/>
    <w:rsid w:val="5AAC00AB"/>
    <w:rsid w:val="5B1619DF"/>
    <w:rsid w:val="5C377912"/>
    <w:rsid w:val="5E111649"/>
    <w:rsid w:val="5E380212"/>
    <w:rsid w:val="638B2FE1"/>
    <w:rsid w:val="64B86363"/>
    <w:rsid w:val="64EF3BA0"/>
    <w:rsid w:val="679E7C3A"/>
    <w:rsid w:val="67BB0D80"/>
    <w:rsid w:val="68AE4022"/>
    <w:rsid w:val="6F426E2A"/>
    <w:rsid w:val="70756877"/>
    <w:rsid w:val="707E5464"/>
    <w:rsid w:val="70C32C16"/>
    <w:rsid w:val="72B542F6"/>
    <w:rsid w:val="72FB055A"/>
    <w:rsid w:val="732A39BD"/>
    <w:rsid w:val="73532584"/>
    <w:rsid w:val="744F3E0A"/>
    <w:rsid w:val="79882A91"/>
    <w:rsid w:val="7C1F3B2A"/>
    <w:rsid w:val="7D025BAF"/>
    <w:rsid w:val="7D1027E2"/>
    <w:rsid w:val="7E8410B6"/>
    <w:rsid w:val="7F78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qFormat/>
    <w:uiPriority w:val="0"/>
    <w:pPr>
      <w:ind w:left="2240" w:hanging="280"/>
      <w:jc w:val="left"/>
    </w:pPr>
    <w:rPr>
      <w:rFonts w:ascii="Calibri" w:hAnsi="Calibri"/>
      <w:sz w:val="18"/>
      <w:szCs w:val="18"/>
    </w:rPr>
  </w:style>
  <w:style w:type="paragraph" w:styleId="3">
    <w:name w:val="Body Text"/>
    <w:basedOn w:val="1"/>
    <w:qFormat/>
    <w:uiPriority w:val="0"/>
    <w:pPr>
      <w:ind w:right="214"/>
    </w:pPr>
    <w:rPr>
      <w:rFonts w:ascii="仿宋_GB2312" w:eastAsia="仿宋_GB2312"/>
      <w:szCs w:val="20"/>
    </w:rPr>
  </w:style>
  <w:style w:type="paragraph" w:styleId="4">
    <w:name w:val="Plain Text"/>
    <w:basedOn w:val="1"/>
    <w:next w:val="1"/>
    <w:unhideWhenUsed/>
    <w:qFormat/>
    <w:uiPriority w:val="99"/>
    <w:rPr>
      <w:rFonts w:hAnsi="Courier New"/>
      <w:kern w:val="0"/>
      <w:sz w:val="20"/>
      <w:szCs w:val="21"/>
      <w:lang w:val="zh-CN"/>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next w:val="10"/>
    <w:qFormat/>
    <w:uiPriority w:val="0"/>
    <w:pPr>
      <w:ind w:firstLine="420" w:firstLineChars="100"/>
    </w:pPr>
  </w:style>
  <w:style w:type="paragraph" w:customStyle="1" w:styleId="10">
    <w:name w:val="_Style 3"/>
    <w:next w:val="1"/>
    <w:qFormat/>
    <w:uiPriority w:val="0"/>
    <w:pPr>
      <w:wordWrap w:val="0"/>
    </w:pPr>
    <w:rPr>
      <w:rFonts w:ascii="Times New Roman" w:hAnsi="Times New Roman" w:eastAsia="宋体" w:cs="Times New Roman"/>
      <w:sz w:val="32"/>
      <w:szCs w:val="22"/>
      <w:lang w:val="en-US" w:eastAsia="zh-CN" w:bidi="ar-SA"/>
    </w:rPr>
  </w:style>
  <w:style w:type="character" w:styleId="13">
    <w:name w:val="page number"/>
    <w:basedOn w:val="12"/>
    <w:qFormat/>
    <w:uiPriority w:val="0"/>
  </w:style>
  <w:style w:type="paragraph" w:customStyle="1" w:styleId="14">
    <w:name w:val="PlainText"/>
    <w:basedOn w:val="1"/>
    <w:next w:val="1"/>
    <w:qFormat/>
    <w:uiPriority w:val="0"/>
    <w:pPr>
      <w:spacing w:line="240" w:lineRule="auto"/>
      <w:jc w:val="both"/>
      <w:textAlignment w:val="baseline"/>
    </w:pPr>
    <w:rPr>
      <w:rFonts w:hAnsi="Courier New"/>
      <w:kern w:val="0"/>
      <w:sz w:val="20"/>
      <w:szCs w:val="21"/>
      <w:lang w:val="zh-CN" w:eastAsia="zh-CN" w:bidi="ar-SA"/>
    </w:rPr>
  </w:style>
  <w:style w:type="paragraph" w:customStyle="1" w:styleId="15">
    <w:name w:val="列出段落1"/>
    <w:basedOn w:val="1"/>
    <w:qFormat/>
    <w:uiPriority w:val="0"/>
    <w:pPr>
      <w:ind w:firstLine="420" w:firstLineChars="200"/>
    </w:pPr>
  </w:style>
  <w:style w:type="paragraph" w:customStyle="1" w:styleId="16">
    <w:name w:val="Char Char Char Char Char Char Char Char Char Char"/>
    <w:basedOn w:val="1"/>
    <w:semiHidden/>
    <w:qFormat/>
    <w:uiPriority w:val="0"/>
    <w:rPr>
      <w:rFonts w:ascii="Calibri" w:hAnsi="Calibri" w:eastAsia="宋体" w:cs="Times New Roman"/>
      <w:sz w:val="21"/>
    </w:rPr>
  </w:style>
  <w:style w:type="character" w:customStyle="1" w:styleId="17">
    <w:name w:val="页眉 Char"/>
    <w:basedOn w:val="12"/>
    <w:link w:val="7"/>
    <w:qFormat/>
    <w:uiPriority w:val="99"/>
    <w:rPr>
      <w:rFonts w:ascii="Times New Roman" w:hAnsi="Times New Roman" w:eastAsia="方正仿宋简体"/>
      <w:sz w:val="18"/>
      <w:szCs w:val="18"/>
    </w:rPr>
  </w:style>
  <w:style w:type="character" w:customStyle="1" w:styleId="18">
    <w:name w:val="页脚 Char"/>
    <w:basedOn w:val="12"/>
    <w:link w:val="6"/>
    <w:qFormat/>
    <w:uiPriority w:val="0"/>
    <w:rPr>
      <w:rFonts w:ascii="Times New Roman" w:hAnsi="Times New Roman" w:eastAsia="方正仿宋简体"/>
      <w:sz w:val="18"/>
      <w:szCs w:val="18"/>
    </w:r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2"/>
    <w:link w:val="19"/>
    <w:qFormat/>
    <w:uiPriority w:val="1"/>
    <w:rPr>
      <w:kern w:val="0"/>
      <w:sz w:val="22"/>
    </w:rPr>
  </w:style>
  <w:style w:type="character" w:customStyle="1" w:styleId="21">
    <w:name w:val="批注框文本 Char"/>
    <w:basedOn w:val="12"/>
    <w:link w:val="5"/>
    <w:semiHidden/>
    <w:qFormat/>
    <w:uiPriority w:val="99"/>
    <w:rPr>
      <w:rFonts w:ascii="Times New Roman" w:hAnsi="Times New Roman" w:eastAsia="方正仿宋简体"/>
      <w:kern w:val="2"/>
      <w:sz w:val="18"/>
      <w:szCs w:val="18"/>
    </w:rPr>
  </w:style>
  <w:style w:type="paragraph" w:customStyle="1" w:styleId="22">
    <w:name w:val="正常文本"/>
    <w:basedOn w:val="1"/>
    <w:next w:val="1"/>
    <w:qFormat/>
    <w:uiPriority w:val="0"/>
    <w:rPr>
      <w:rFonts w:hint="default" w:ascii="Times New Roman" w:hAnsi="Times New Roman" w:eastAsia="方正仿宋简体"/>
    </w:rPr>
  </w:style>
  <w:style w:type="paragraph" w:customStyle="1" w:styleId="23">
    <w:name w:val="黑体标题"/>
    <w:basedOn w:val="1"/>
    <w:next w:val="1"/>
    <w:qFormat/>
    <w:uiPriority w:val="0"/>
    <w:rPr>
      <w:rFonts w:hint="eastAsia" w:eastAsia="黑体"/>
    </w:rPr>
  </w:style>
  <w:style w:type="paragraph" w:customStyle="1" w:styleId="24">
    <w:name w:val="楷体标题"/>
    <w:basedOn w:val="1"/>
    <w:next w:val="1"/>
    <w:qFormat/>
    <w:uiPriority w:val="0"/>
    <w:rPr>
      <w:rFonts w:hint="eastAsia"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845</Words>
  <Characters>4818</Characters>
  <Lines>40</Lines>
  <Paragraphs>11</Paragraphs>
  <TotalTime>8</TotalTime>
  <ScaleCrop>false</ScaleCrop>
  <LinksUpToDate>false</LinksUpToDate>
  <CharactersWithSpaces>5652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2018-11-21T02:22:00Z</dcterms:created>
  <dc:creator>微软用户</dc:creator>
  <cp:lastModifiedBy>段正云</cp:lastModifiedBy>
  <cp:lastPrinted>2021-08-23T12:55:00Z</cp:lastPrinted>
  <dcterms:modified xsi:type="dcterms:W3CDTF">2025-04-16T01:32:35Z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SaveFontToCloudKey">
    <vt:lpwstr>548196337_btnclosed</vt:lpwstr>
  </property>
  <property fmtid="{D5CDD505-2E9C-101B-9397-08002B2CF9AE}" pid="4" name="ICV">
    <vt:lpwstr>C02FD4AB2E2D46F8A0EA59C7B60FAE26</vt:lpwstr>
  </property>
</Properties>
</file>