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auto"/>
          <w:sz w:val="36"/>
          <w:szCs w:val="36"/>
          <w:highlight w:val="none"/>
        </w:rPr>
      </w:pPr>
    </w:p>
    <w:p>
      <w:pPr>
        <w:rPr>
          <w:rFonts w:hint="default" w:ascii="Times New Roman" w:hAnsi="Times New Roman" w:eastAsia="宋体" w:cs="Times New Roman"/>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Cs/>
          <w:color w:val="auto"/>
          <w:sz w:val="72"/>
          <w:szCs w:val="72"/>
          <w:highlight w:val="none"/>
        </w:rPr>
      </w:pPr>
      <w:bookmarkStart w:id="0" w:name="_Toc23051"/>
      <w:r>
        <w:rPr>
          <w:rFonts w:hint="default" w:ascii="Times New Roman" w:hAnsi="Times New Roman" w:eastAsia="方正小标宋_GBK" w:cs="Times New Roman"/>
          <w:bCs/>
          <w:color w:val="auto"/>
          <w:sz w:val="72"/>
          <w:szCs w:val="72"/>
          <w:highlight w:val="none"/>
        </w:rPr>
        <w:t>建设项目环境影响报告表</w:t>
      </w:r>
      <w:bookmarkEnd w:id="0"/>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w:t>
      </w:r>
      <w:r>
        <w:rPr>
          <w:rFonts w:hint="default" w:ascii="Times New Roman" w:hAnsi="Times New Roman" w:eastAsia="楷体_GB2312" w:cs="Times New Roman"/>
          <w:bCs/>
          <w:color w:val="auto"/>
          <w:sz w:val="48"/>
          <w:szCs w:val="48"/>
          <w:highlight w:val="none"/>
          <w:lang w:val="en-US" w:eastAsia="zh-CN"/>
        </w:rPr>
        <w:t>公示稿</w:t>
      </w:r>
      <w:r>
        <w:rPr>
          <w:rFonts w:hint="default" w:ascii="Times New Roman" w:hAnsi="Times New Roman" w:eastAsia="楷体_GB2312" w:cs="Times New Roman"/>
          <w:bCs/>
          <w:color w:val="auto"/>
          <w:sz w:val="48"/>
          <w:szCs w:val="48"/>
          <w:highlight w:val="none"/>
        </w:rPr>
        <w:t>）</w:t>
      </w:r>
    </w:p>
    <w:p>
      <w:pPr>
        <w:ind w:firstLine="1040"/>
        <w:rPr>
          <w:rFonts w:hint="default" w:ascii="Times New Roman" w:hAnsi="Times New Roman" w:eastAsia="宋体" w:cs="Times New Roman"/>
          <w:color w:val="auto"/>
          <w:sz w:val="44"/>
          <w:szCs w:val="44"/>
          <w:highlight w:val="none"/>
        </w:rPr>
      </w:pPr>
    </w:p>
    <w:p>
      <w:pPr>
        <w:ind w:firstLine="1040"/>
        <w:rPr>
          <w:rFonts w:hint="default" w:ascii="Times New Roman" w:hAnsi="Times New Roman" w:eastAsia="宋体" w:cs="Times New Roman"/>
          <w:color w:val="auto"/>
          <w:sz w:val="44"/>
          <w:szCs w:val="44"/>
          <w:highlight w:val="none"/>
        </w:rPr>
      </w:pPr>
    </w:p>
    <w:p>
      <w:pPr>
        <w:ind w:firstLine="1040"/>
        <w:rPr>
          <w:rFonts w:hint="default" w:ascii="Times New Roman" w:hAnsi="Times New Roman" w:eastAsia="宋体" w:cs="Times New Roman"/>
          <w:color w:val="auto"/>
          <w:sz w:val="44"/>
          <w:szCs w:val="44"/>
          <w:highlight w:val="none"/>
        </w:rPr>
      </w:pPr>
    </w:p>
    <w:p>
      <w:pPr>
        <w:ind w:firstLine="1040"/>
        <w:rPr>
          <w:rFonts w:hint="default" w:ascii="Times New Roman" w:hAnsi="Times New Roman" w:eastAsia="宋体" w:cs="Times New Roman"/>
          <w:color w:val="auto"/>
          <w:sz w:val="44"/>
          <w:szCs w:val="44"/>
          <w:highlight w:val="none"/>
        </w:rPr>
      </w:pPr>
    </w:p>
    <w:p>
      <w:pPr>
        <w:ind w:firstLine="1040"/>
        <w:rPr>
          <w:rFonts w:hint="default" w:ascii="Times New Roman" w:hAnsi="Times New Roman" w:eastAsia="宋体" w:cs="Times New Roman"/>
          <w:color w:val="auto"/>
          <w:highlight w:val="none"/>
        </w:rPr>
      </w:pPr>
    </w:p>
    <w:p>
      <w:pPr>
        <w:pStyle w:val="5"/>
        <w:rPr>
          <w:rFonts w:hint="default" w:ascii="Times New Roman" w:hAnsi="Times New Roman" w:eastAsia="宋体" w:cs="Times New Roman"/>
          <w:color w:val="auto"/>
          <w:highlight w:val="none"/>
        </w:rPr>
      </w:pPr>
    </w:p>
    <w:p>
      <w:pPr>
        <w:ind w:firstLine="1040"/>
        <w:rPr>
          <w:rFonts w:hint="default" w:ascii="Times New Roman" w:hAnsi="Times New Roman" w:eastAsia="宋体" w:cs="Times New Roman"/>
          <w:color w:val="auto"/>
          <w:sz w:val="44"/>
          <w:szCs w:val="44"/>
          <w:highlight w:val="none"/>
        </w:rPr>
      </w:pPr>
    </w:p>
    <w:p>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rPr>
      </w:pPr>
      <w:r>
        <w:rPr>
          <w:rFonts w:hint="default" w:ascii="Times New Roman" w:hAnsi="Times New Roman" w:eastAsia="仿宋_GB2312" w:cs="Times New Roman"/>
          <w:color w:val="auto"/>
          <w:sz w:val="36"/>
          <w:szCs w:val="36"/>
          <w:highlight w:val="none"/>
        </w:rPr>
        <w:t>项目名称</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姚安县现代花卉产业园花卉产业基地项目</w:t>
      </w:r>
    </w:p>
    <w:p>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建设单位（盖章）</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姚安县国有资本投资运营集团有限公司</w:t>
      </w:r>
    </w:p>
    <w:p>
      <w:pPr>
        <w:adjustRightInd w:val="0"/>
        <w:snapToGrid w:val="0"/>
        <w:spacing w:line="360" w:lineRule="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编制日期</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2024年</w:t>
      </w:r>
      <w:r>
        <w:rPr>
          <w:rFonts w:hint="eastAsia" w:eastAsia="仿宋_GB2312" w:cs="Times New Roman"/>
          <w:color w:val="auto"/>
          <w:sz w:val="36"/>
          <w:szCs w:val="36"/>
          <w:highlight w:val="none"/>
          <w:u w:val="single"/>
          <w:lang w:val="en-US" w:eastAsia="zh-CN"/>
        </w:rPr>
        <w:t>4</w:t>
      </w:r>
      <w:r>
        <w:rPr>
          <w:rFonts w:hint="default" w:ascii="Times New Roman" w:hAnsi="Times New Roman" w:eastAsia="仿宋_GB2312" w:cs="Times New Roman"/>
          <w:color w:val="auto"/>
          <w:sz w:val="36"/>
          <w:szCs w:val="36"/>
          <w:highlight w:val="none"/>
          <w:u w:val="single"/>
          <w:lang w:val="en-US" w:eastAsia="zh-CN"/>
        </w:rPr>
        <w:t xml:space="preserve">月             </w:t>
      </w:r>
    </w:p>
    <w:p>
      <w:pPr>
        <w:adjustRightInd w:val="0"/>
        <w:snapToGrid w:val="0"/>
        <w:spacing w:line="288" w:lineRule="auto"/>
        <w:rPr>
          <w:rFonts w:hint="default" w:ascii="Times New Roman" w:hAnsi="Times New Roman" w:eastAsia="宋体" w:cs="Times New Roman"/>
          <w:color w:val="auto"/>
          <w:sz w:val="36"/>
          <w:szCs w:val="36"/>
          <w:highlight w:val="none"/>
        </w:rPr>
      </w:pPr>
      <w:bookmarkStart w:id="1" w:name="_Hlk57884087"/>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ind w:firstLine="1040"/>
        <w:rPr>
          <w:rFonts w:hint="default" w:ascii="Times New Roman" w:hAnsi="Times New Roman" w:eastAsia="宋体" w:cs="Times New Roman"/>
          <w:color w:val="auto"/>
          <w:sz w:val="36"/>
          <w:szCs w:val="36"/>
          <w:highlight w:val="none"/>
        </w:rPr>
      </w:pPr>
    </w:p>
    <w:p>
      <w:pPr>
        <w:ind w:firstLine="1040"/>
        <w:rPr>
          <w:rFonts w:hint="default" w:ascii="Times New Roman" w:hAnsi="Times New Roman" w:eastAsia="宋体" w:cs="Times New Roman"/>
          <w:color w:val="auto"/>
          <w:highlight w:val="none"/>
        </w:rPr>
      </w:pPr>
    </w:p>
    <w:p>
      <w:pPr>
        <w:pStyle w:val="5"/>
        <w:rPr>
          <w:rFonts w:hint="default" w:ascii="Times New Roman" w:hAnsi="Times New Roman" w:eastAsia="宋体" w:cs="Times New Roman"/>
          <w:color w:val="auto"/>
          <w:highlight w:val="none"/>
        </w:rPr>
      </w:pPr>
    </w:p>
    <w:bookmarkEnd w:id="1"/>
    <w:p>
      <w:pPr>
        <w:adjustRightInd w:val="0"/>
        <w:snapToGrid w:val="0"/>
        <w:spacing w:line="288" w:lineRule="auto"/>
        <w:jc w:val="center"/>
        <w:rPr>
          <w:rFonts w:hint="default" w:ascii="Times New Roman" w:hAnsi="Times New Roman" w:eastAsia="宋体" w:cs="Times New Roman"/>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hint="default" w:ascii="Times New Roman" w:hAnsi="Times New Roman" w:eastAsia="楷体_GB2312" w:cs="Times New Roman"/>
          <w:color w:val="auto"/>
          <w:sz w:val="36"/>
          <w:szCs w:val="36"/>
          <w:highlight w:val="none"/>
        </w:rPr>
        <w:t>中华人民共和国生态环境部制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一、建设概况</w:t>
      </w:r>
    </w:p>
    <w:p>
      <w:pPr>
        <w:keepNext w:val="0"/>
        <w:keepLines w:val="0"/>
        <w:widowControl/>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本项目属于《姚安县乡村振兴项目》的“产业发展项目”部分，已于2021年08月09日取得了《姚安县乡村振兴项目可行性研究报告的批复》（姚发展农经〔2021〕58号），项目代码：2110-532325-04-05-612783。</w:t>
      </w:r>
    </w:p>
    <w:p>
      <w:pPr>
        <w:keepNext w:val="0"/>
        <w:keepLines w:val="0"/>
        <w:widowControl/>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根据《中华人民共和国环境影响评价法》和《建设项目环境保护管理条例》的规定，本项目应开展环境影响评价工作。查阅《建设项目环境影响评价分类管理名录》（2021年版），本项目属于“一、农业01、林业02”中的“1农产品基地项目（含药材基地）”中的“其他”类别建设项目，应做“登记表”。本项目配套锅炉对花卉大棚进行加温，属于“四十一、电力、热力生产和供应业”中“91热力生产和供应工程（包括建设单位自建自用的供热工程）”中的</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天然气锅炉总容量1吨/小时（0.7兆瓦）以上的”类别建设项目，应当编制“报告表”。根据《建设项目环境影响评价分类管理名录》（2021年版）</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建设内容涉及本名录中两个及以上项目类别的建设项目，其环境影响评价类别按照其中单项等级最高的确定”，因此本项目应当编制环境影响报告表。2024年02月22日，建设单位委托我单位（云南适新环保科技有限公司）负责“姚安县现代花卉产业园花卉产业基地项目”的环境影响评价工作，编制完成《姚安县现代花卉产业园花卉产业基地项目环境影响报告表》，提交生态环境主管部门审批。</w:t>
      </w:r>
    </w:p>
    <w:p>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项目名称</w:t>
      </w:r>
      <w:r>
        <w:rPr>
          <w:rFonts w:hint="eastAsia" w:ascii="宋体" w:hAnsi="宋体" w:eastAsia="宋体" w:cs="宋体"/>
          <w:kern w:val="2"/>
          <w:sz w:val="24"/>
          <w:szCs w:val="24"/>
          <w:lang w:val="en-US" w:eastAsia="zh-CN" w:bidi="ar"/>
        </w:rPr>
        <w:t>：姚安县现代花卉产业园花卉产业基地项目</w:t>
      </w:r>
    </w:p>
    <w:p>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建设单位：</w:t>
      </w:r>
      <w:r>
        <w:rPr>
          <w:rFonts w:hint="eastAsia" w:ascii="宋体" w:hAnsi="宋体" w:eastAsia="宋体" w:cs="宋体"/>
          <w:kern w:val="2"/>
          <w:sz w:val="24"/>
          <w:szCs w:val="24"/>
          <w:lang w:val="en-US" w:eastAsia="zh-CN" w:bidi="ar"/>
        </w:rPr>
        <w:t>姚安县国有资本投资运营集团有限公司</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建设地点</w:t>
      </w:r>
      <w:r>
        <w:rPr>
          <w:rFonts w:hint="eastAsia" w:ascii="宋体" w:hAnsi="宋体" w:eastAsia="宋体" w:cs="宋体"/>
          <w:kern w:val="2"/>
          <w:sz w:val="24"/>
          <w:szCs w:val="24"/>
          <w:lang w:val="en-US" w:eastAsia="zh-CN" w:bidi="ar"/>
        </w:rPr>
        <w:t>：姚安县栋川镇</w:t>
      </w:r>
      <w:r>
        <w:rPr>
          <w:rFonts w:hint="eastAsia" w:ascii="宋体" w:hAnsi="宋体" w:cs="宋体"/>
          <w:kern w:val="2"/>
          <w:sz w:val="24"/>
          <w:szCs w:val="24"/>
          <w:lang w:val="en-US" w:eastAsia="zh-CN" w:bidi="ar"/>
        </w:rPr>
        <w:t>白龙寺村委会</w:t>
      </w:r>
      <w:r>
        <w:rPr>
          <w:rFonts w:hint="eastAsia" w:ascii="宋体" w:hAnsi="宋体" w:eastAsia="宋体" w:cs="宋体"/>
          <w:kern w:val="2"/>
          <w:sz w:val="24"/>
          <w:szCs w:val="24"/>
          <w:lang w:val="en-US" w:eastAsia="zh-CN" w:bidi="ar"/>
        </w:rPr>
        <w:t>沙地</w:t>
      </w:r>
      <w:r>
        <w:rPr>
          <w:rFonts w:hint="eastAsia" w:ascii="宋体" w:hAnsi="宋体" w:cs="宋体"/>
          <w:kern w:val="2"/>
          <w:sz w:val="24"/>
          <w:szCs w:val="24"/>
          <w:lang w:val="en-US" w:eastAsia="zh-CN" w:bidi="ar"/>
        </w:rPr>
        <w:t>组</w:t>
      </w:r>
      <w:r>
        <w:rPr>
          <w:rFonts w:hint="eastAsia" w:ascii="宋体" w:hAnsi="宋体" w:eastAsia="宋体" w:cs="宋体"/>
          <w:kern w:val="2"/>
          <w:sz w:val="24"/>
          <w:szCs w:val="24"/>
          <w:lang w:val="en-US" w:eastAsia="zh-CN" w:bidi="ar"/>
        </w:rPr>
        <w:t>，中心地理位置坐标为：东经101°15′1.703″、北纬25°33′16.820″。</w:t>
      </w:r>
    </w:p>
    <w:p>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建设性质：</w:t>
      </w:r>
      <w:r>
        <w:rPr>
          <w:rFonts w:hint="eastAsia" w:ascii="宋体" w:hAnsi="宋体" w:eastAsia="宋体" w:cs="宋体"/>
          <w:kern w:val="2"/>
          <w:sz w:val="24"/>
          <w:szCs w:val="24"/>
          <w:lang w:val="en-US" w:eastAsia="zh-CN" w:bidi="ar"/>
        </w:rPr>
        <w:t>新建</w:t>
      </w:r>
    </w:p>
    <w:p>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项目规模：</w:t>
      </w:r>
      <w:r>
        <w:rPr>
          <w:rFonts w:hint="eastAsia" w:ascii="宋体" w:hAnsi="宋体" w:eastAsia="宋体" w:cs="宋体"/>
          <w:kern w:val="2"/>
          <w:sz w:val="24"/>
          <w:szCs w:val="24"/>
          <w:lang w:val="en-US" w:eastAsia="zh-CN" w:bidi="ar"/>
        </w:rPr>
        <w:t>年产玫瑰鲜切花4100万枝</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sz w:val="24"/>
          <w:szCs w:val="24"/>
        </w:rPr>
      </w:pPr>
      <w:r>
        <w:rPr>
          <w:rFonts w:hint="eastAsia" w:ascii="宋体" w:hAnsi="宋体" w:eastAsia="宋体" w:cs="宋体"/>
          <w:b/>
          <w:bCs/>
          <w:kern w:val="2"/>
          <w:sz w:val="24"/>
          <w:szCs w:val="24"/>
          <w:lang w:val="en-US" w:eastAsia="zh-CN" w:bidi="ar"/>
        </w:rPr>
        <w:t>建设内容：</w:t>
      </w:r>
      <w:r>
        <w:rPr>
          <w:rFonts w:hint="eastAsia" w:ascii="宋体" w:hAnsi="宋体" w:eastAsia="宋体" w:cs="宋体"/>
          <w:b w:val="0"/>
          <w:bCs w:val="0"/>
          <w:kern w:val="2"/>
          <w:sz w:val="24"/>
          <w:szCs w:val="24"/>
          <w:lang w:val="en-US" w:eastAsia="zh-CN" w:bidi="ar"/>
        </w:rPr>
        <w:t>本项目为</w:t>
      </w:r>
      <w:r>
        <w:rPr>
          <w:rFonts w:hint="eastAsia" w:ascii="宋体" w:hAnsi="宋体" w:eastAsia="宋体" w:cs="宋体"/>
          <w:kern w:val="2"/>
          <w:sz w:val="24"/>
          <w:szCs w:val="24"/>
          <w:lang w:val="en-US" w:eastAsia="zh-CN" w:bidi="ar"/>
        </w:rPr>
        <w:t>姚安县现代花卉产业园花卉产业基地项目，在386亩项目区内新建6栋连栋薄膜生产温室及配套建设附属配套工程，生产温室总面积205017.6平方米，合计307.52亩，其中南区占地面积约94670平方米（142亩），北区占地面积约162670平方米（244亩）</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附属配套工程包括场地平整工程、道路工程、供水工程、排水工程、供电工程、园区围护工程、园区绿化工程及附属配套设施（水肥泵房、锅炉房、管护用房、采后处理车间及冷库），其中南区配套两台5.6MW（8t/h）天然气锅炉对南区大棚进行加温，北区配套两台10.5MW（15t/h）天然气锅炉对北区大棚进行加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二、施工期主要环境影响及防治措施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（一）施工期大气环境影响及防治措施</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施工期废气主要为施工扬尘、机械和运输废气、装修废气。</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本项目在</w:t>
      </w:r>
      <w:r>
        <w:rPr>
          <w:rFonts w:hint="default" w:ascii="宋体" w:hAnsi="宋体" w:eastAsia="宋体" w:cs="宋体"/>
          <w:kern w:val="0"/>
          <w:sz w:val="24"/>
          <w:szCs w:val="24"/>
          <w:lang w:val="en-US" w:eastAsia="zh-CN" w:bidi="ar"/>
        </w:rPr>
        <w:t>施工区域四周进行临时围挡，围挡顶部安装喷雾设施，扬尘大的施工作业时应使用雾炮机洒水降尘。建筑材料如砂石、水泥不能乱堆乱放，要定点堆放，必要时要进行覆盖处理。建立清洁管理制度，经常清扫地面和路面</w:t>
      </w:r>
      <w:r>
        <w:rPr>
          <w:rFonts w:hint="eastAsia" w:ascii="宋体" w:hAnsi="宋体" w:eastAsia="宋体" w:cs="宋体"/>
          <w:kern w:val="0"/>
          <w:sz w:val="24"/>
          <w:szCs w:val="24"/>
          <w:lang w:val="en-US" w:eastAsia="zh-CN" w:bidi="ar"/>
        </w:rPr>
        <w:t>，</w:t>
      </w:r>
      <w:r>
        <w:rPr>
          <w:rFonts w:hint="default" w:ascii="宋体" w:hAnsi="宋体" w:eastAsia="宋体" w:cs="宋体"/>
          <w:kern w:val="0"/>
          <w:sz w:val="24"/>
          <w:szCs w:val="24"/>
          <w:lang w:val="en-US" w:eastAsia="zh-CN" w:bidi="ar"/>
        </w:rPr>
        <w:t>并且经常洒水保持湿润，抑制扬尘。运输车辆使用篷布覆盖，进出口处设置洗车设施。建材废包装需集中收集，定期清运。</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项目施工期较短，</w:t>
      </w:r>
      <w:r>
        <w:rPr>
          <w:rFonts w:hint="default" w:ascii="宋体" w:hAnsi="宋体" w:eastAsia="宋体" w:cs="宋体"/>
          <w:kern w:val="0"/>
          <w:sz w:val="24"/>
          <w:szCs w:val="24"/>
          <w:lang w:val="en-US" w:eastAsia="zh-CN" w:bidi="ar"/>
        </w:rPr>
        <w:t>产生废气的施工机械主要有振捣器、运输车辆等设备</w:t>
      </w:r>
      <w:r>
        <w:rPr>
          <w:rFonts w:hint="eastAsia" w:ascii="宋体" w:hAnsi="宋体" w:eastAsia="宋体" w:cs="宋体"/>
          <w:kern w:val="0"/>
          <w:sz w:val="24"/>
          <w:szCs w:val="24"/>
          <w:lang w:val="en-US" w:eastAsia="zh-CN" w:bidi="ar"/>
        </w:rPr>
        <w:t>，</w:t>
      </w:r>
      <w:r>
        <w:rPr>
          <w:rFonts w:hint="default" w:ascii="宋体" w:hAnsi="宋体" w:eastAsia="宋体" w:cs="宋体"/>
          <w:kern w:val="0"/>
          <w:sz w:val="24"/>
          <w:szCs w:val="24"/>
          <w:lang w:val="en-US" w:eastAsia="zh-CN" w:bidi="ar"/>
        </w:rPr>
        <w:t>外排尾气量均不是很大，尾气排放点随设备移动呈不固定方式排放且使用汽油或柴油作能源</w:t>
      </w:r>
      <w:r>
        <w:rPr>
          <w:rFonts w:hint="eastAsia" w:ascii="宋体" w:hAnsi="宋体" w:eastAsia="宋体" w:cs="宋体"/>
          <w:kern w:val="0"/>
          <w:sz w:val="24"/>
          <w:szCs w:val="24"/>
          <w:lang w:val="en-US" w:eastAsia="zh-CN" w:bidi="ar"/>
        </w:rPr>
        <w:t>，</w:t>
      </w:r>
      <w:r>
        <w:rPr>
          <w:rFonts w:hint="default" w:ascii="宋体" w:hAnsi="宋体" w:eastAsia="宋体" w:cs="宋体"/>
          <w:kern w:val="0"/>
          <w:sz w:val="24"/>
          <w:szCs w:val="24"/>
          <w:lang w:val="en-US" w:eastAsia="zh-CN" w:bidi="ar"/>
        </w:rPr>
        <w:t>在</w:t>
      </w:r>
      <w:r>
        <w:rPr>
          <w:rFonts w:hint="eastAsia" w:ascii="宋体" w:hAnsi="宋体" w:eastAsia="宋体" w:cs="宋体"/>
          <w:kern w:val="0"/>
          <w:sz w:val="24"/>
          <w:szCs w:val="24"/>
          <w:lang w:val="en-US" w:eastAsia="zh-CN" w:bidi="ar"/>
        </w:rPr>
        <w:t>大气</w:t>
      </w:r>
      <w:r>
        <w:rPr>
          <w:rFonts w:hint="default" w:ascii="宋体" w:hAnsi="宋体" w:eastAsia="宋体" w:cs="宋体"/>
          <w:kern w:val="0"/>
          <w:sz w:val="24"/>
          <w:szCs w:val="24"/>
          <w:lang w:val="en-US" w:eastAsia="zh-CN" w:bidi="ar"/>
        </w:rPr>
        <w:t>环境中经一定距离的自然扩散、稀释后，对评价区域空气质量影响不大</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本项目</w:t>
      </w:r>
      <w:r>
        <w:rPr>
          <w:rFonts w:hint="default" w:ascii="宋体" w:hAnsi="宋体" w:eastAsia="宋体" w:cs="宋体"/>
          <w:kern w:val="0"/>
          <w:sz w:val="24"/>
          <w:szCs w:val="24"/>
          <w:lang w:val="en-US" w:eastAsia="zh-CN" w:bidi="ar"/>
        </w:rPr>
        <w:t>购买使用环保涂料</w:t>
      </w:r>
      <w:r>
        <w:rPr>
          <w:rFonts w:hint="eastAsia" w:ascii="宋体" w:hAnsi="宋体" w:eastAsia="宋体" w:cs="宋体"/>
          <w:kern w:val="0"/>
          <w:sz w:val="24"/>
          <w:szCs w:val="24"/>
          <w:lang w:val="en-US" w:eastAsia="zh-CN" w:bidi="ar"/>
        </w:rPr>
        <w:t>，</w:t>
      </w:r>
      <w:r>
        <w:rPr>
          <w:rFonts w:hint="default" w:ascii="宋体" w:hAnsi="宋体" w:eastAsia="宋体" w:cs="宋体"/>
          <w:kern w:val="0"/>
          <w:sz w:val="24"/>
          <w:szCs w:val="24"/>
          <w:lang w:val="en-US" w:eastAsia="zh-CN" w:bidi="ar"/>
        </w:rPr>
        <w:t>喷涂期间保持良好的通风；室内板材安装在确保质量的前提下尽量减少胶水、泡沫填充剂的使用；作业人员佩戴防毒面具等个人防护装备；装修施工结束，加强室内的通风换气</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综上，项目在严格落实上述废气污染防治措施后对周围的大气环境影响较小。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（二）施工期地表水环境影响及防治措施</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项目施工期废水主要为施工人员生活污水和施工建筑废水</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施工废水主要是在养护和施工机械车辆</w:t>
      </w:r>
      <w:r>
        <w:rPr>
          <w:rFonts w:hint="eastAsia" w:ascii="宋体" w:hAnsi="宋体" w:eastAsia="宋体" w:cs="宋体"/>
          <w:kern w:val="0"/>
          <w:sz w:val="24"/>
          <w:szCs w:val="24"/>
          <w:lang w:val="en-US" w:eastAsia="zh-CN" w:bidi="ar"/>
        </w:rPr>
        <w:t>轮胎</w:t>
      </w:r>
      <w:r>
        <w:rPr>
          <w:rFonts w:hint="default" w:ascii="宋体" w:hAnsi="宋体" w:eastAsia="宋体" w:cs="宋体"/>
          <w:kern w:val="0"/>
          <w:sz w:val="24"/>
          <w:szCs w:val="24"/>
          <w:lang w:val="en-US" w:eastAsia="zh-CN" w:bidi="ar"/>
        </w:rPr>
        <w:t>清洗时产生</w:t>
      </w:r>
      <w:r>
        <w:rPr>
          <w:rFonts w:hint="eastAsia" w:ascii="宋体" w:hAnsi="宋体" w:eastAsia="宋体" w:cs="宋体"/>
          <w:kern w:val="0"/>
          <w:sz w:val="24"/>
          <w:szCs w:val="24"/>
          <w:lang w:val="en-US" w:eastAsia="zh-CN" w:bidi="ar"/>
        </w:rPr>
        <w:t>，主要污染物为SS，项目施工期在现场设置一处施工废水临时沉淀池，施工废水经沉淀后回用。</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施工人员生活污水仅为施工人员洗手所产生的废水，项目施工期间在施工现场设置一处生活污水临时沉淀池，施工人员洗手废水经沉淀处理后用于场地降尘。</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综上所述，项目施工期产生的废水均得到妥善处置，对周围地表水环境造成的影响较小。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（三）施工期声环境影响及防治措施</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施工期的噪声主要来源于施工过程中挖掘机、载重汽车等各类机械设备的运行。另外，在设备安装阶段，所产生的噪声主要为电动扳手、电焊机、电钻、切割机等的机械噪声。施工期噪声为间断排放</w:t>
      </w:r>
      <w:r>
        <w:rPr>
          <w:rFonts w:hint="eastAsia" w:ascii="宋体" w:hAnsi="宋体" w:eastAsia="宋体" w:cs="宋体"/>
          <w:kern w:val="0"/>
          <w:sz w:val="24"/>
          <w:szCs w:val="24"/>
          <w:lang w:val="en-US" w:eastAsia="zh-CN" w:bidi="ar"/>
        </w:rPr>
        <w:t>，通过施工场地合理布局、定期维护施工设备、尽量减少建材碰撞、施工车辆限速行驶禁止鸣笛等方式</w:t>
      </w:r>
      <w:r>
        <w:rPr>
          <w:rFonts w:hint="default" w:ascii="宋体" w:hAnsi="宋体" w:eastAsia="宋体" w:cs="宋体"/>
          <w:kern w:val="0"/>
          <w:sz w:val="24"/>
          <w:szCs w:val="24"/>
          <w:lang w:val="en-US" w:eastAsia="zh-CN" w:bidi="ar"/>
        </w:rPr>
        <w:t>可最大限度地减少施工期噪声对周围居民的影响。</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施工期结束后，施工期噪声的影响即可消除。综上所述，项目施工期产生的噪声对当地声环境的影响是可接受的。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（四）施工期固废产生情况及防治措施</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本项目施工期产生的固体废弃物主要为施工人员日常生活产生的生活垃圾、施工过程中产生的废弃建筑垃圾。</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生活垃圾经垃圾桶收集后，委托环卫部门清运处置。</w:t>
      </w:r>
      <w:r>
        <w:rPr>
          <w:rFonts w:hint="default" w:ascii="宋体" w:hAnsi="宋体" w:eastAsia="宋体" w:cs="宋体"/>
          <w:kern w:val="0"/>
          <w:sz w:val="24"/>
          <w:szCs w:val="24"/>
          <w:lang w:val="en-US" w:eastAsia="zh-CN" w:bidi="ar"/>
        </w:rPr>
        <w:t>施工期产生的建筑垃圾分类集中收集后，能够回收利用的进行回收利用，不能回收利用的运至当地政府指定的建筑垃圾处置场地进行处置，禁止与生活垃圾混合处置</w:t>
      </w:r>
      <w:r>
        <w:rPr>
          <w:rFonts w:hint="eastAsia" w:ascii="宋体" w:hAnsi="宋体" w:eastAsia="宋体" w:cs="宋体"/>
          <w:kern w:val="0"/>
          <w:sz w:val="24"/>
          <w:szCs w:val="24"/>
          <w:lang w:val="en-US" w:eastAsia="zh-CN" w:bidi="ar"/>
        </w:rPr>
        <w:t>，</w:t>
      </w:r>
      <w:r>
        <w:rPr>
          <w:rFonts w:hint="default" w:ascii="宋体" w:hAnsi="宋体" w:eastAsia="宋体" w:cs="宋体"/>
          <w:kern w:val="0"/>
          <w:sz w:val="24"/>
          <w:szCs w:val="24"/>
          <w:lang w:val="en-US" w:eastAsia="zh-CN" w:bidi="ar"/>
        </w:rPr>
        <w:t>不得随意堆放。</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项目施工期固废均能得到妥善处置，对周围环境影响较小。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、运营期</w:t>
      </w:r>
      <w:r>
        <w:rPr>
          <w:rFonts w:hint="eastAsia" w:ascii="宋体" w:hAnsi="宋体" w:cs="宋体"/>
          <w:b/>
          <w:bCs/>
          <w:color w:val="auto"/>
          <w:sz w:val="24"/>
          <w:szCs w:val="24"/>
          <w:highlight w:val="none"/>
          <w:lang w:val="en-US" w:eastAsia="zh-CN"/>
        </w:rPr>
        <w:t>主要</w:t>
      </w:r>
      <w:r>
        <w:rPr>
          <w:rFonts w:hint="eastAsia" w:ascii="宋体" w:hAnsi="宋体" w:eastAsia="宋体" w:cs="宋体"/>
          <w:b/>
          <w:bCs/>
          <w:color w:val="auto"/>
          <w:sz w:val="24"/>
          <w:szCs w:val="24"/>
          <w:highlight w:val="none"/>
          <w:lang w:val="en-US" w:eastAsia="zh-CN"/>
        </w:rPr>
        <w:t>环境影响</w:t>
      </w:r>
      <w:r>
        <w:rPr>
          <w:rFonts w:hint="eastAsia" w:ascii="宋体" w:hAnsi="宋体" w:cs="宋体"/>
          <w:b/>
          <w:bCs/>
          <w:color w:val="auto"/>
          <w:sz w:val="24"/>
          <w:szCs w:val="24"/>
          <w:highlight w:val="none"/>
          <w:lang w:val="en-US" w:eastAsia="zh-CN"/>
        </w:rPr>
        <w:t>及防治</w:t>
      </w:r>
      <w:r>
        <w:rPr>
          <w:rFonts w:hint="eastAsia" w:ascii="宋体" w:hAnsi="宋体" w:eastAsia="宋体" w:cs="宋体"/>
          <w:b/>
          <w:bCs/>
          <w:color w:val="auto"/>
          <w:sz w:val="24"/>
          <w:szCs w:val="24"/>
          <w:highlight w:val="none"/>
          <w:lang w:val="en-US" w:eastAsia="zh-CN"/>
        </w:rPr>
        <w:t>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（一）运营期大气环境影响及防治措施</w:t>
      </w:r>
    </w:p>
    <w:p>
      <w:pPr>
        <w:keepNext w:val="0"/>
        <w:keepLines w:val="0"/>
        <w:widowControl/>
        <w:suppressLineNumbers w:val="0"/>
        <w:spacing w:before="0" w:beforeAutospacing="0" w:after="0" w:afterAutospacing="0" w:line="360" w:lineRule="auto"/>
        <w:ind w:left="0" w:right="0" w:firstLine="482" w:firstLineChars="200"/>
        <w:jc w:val="both"/>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（1）运营期废气产排情况</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项目拟建两台5.6MW（8t/h）天然气锅炉和两台10.5MW（15t/h）天然气锅炉分别负责南北区大棚加温。项目所使用天然气锅炉均采用低氮燃烧技术，各天然气锅炉废气经单独排气筒有组织排放。通过核算，单台5.6MW（8t/h）天然气锅炉废气各污染物产排情况为：颗粒物18.54mg/m³（0.18kg/h，667.49kg/a）、二氧化硫12.97mg/m³（0.13kg/h，466.78kg/a）、氮氧化物60.68mg/m³（0.60kg/h，2184.52kg/a）。单台10.5MW（15t/h）天然气锅炉废气各污染物产排情况为：颗粒物17.38mg/m³（0.35kg/h，1251.6kg/a）、二氧化硫12.16mg/m³（0.24kg/h，875.23kg/a）、氮氧化物56.89mg/m³（1.14kg/h，4096.1kg/a）。四台锅炉污染物总排放量为：颗粒物3.84t/a、二氧化硫2.68t/a、氮氧化物12.56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（2）运营期废气污染防治措施可行性分析</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根据《排污许可证申请与核发技术规范</w:t>
      </w:r>
      <w:r>
        <w:rPr>
          <w:rFonts w:hint="default" w:ascii="宋体" w:hAnsi="宋体" w:eastAsia="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锅炉》（</w:t>
      </w:r>
      <w:r>
        <w:rPr>
          <w:rFonts w:hint="default" w:ascii="宋体" w:hAnsi="宋体" w:eastAsia="宋体" w:cs="宋体"/>
          <w:kern w:val="0"/>
          <w:sz w:val="24"/>
          <w:szCs w:val="24"/>
          <w:lang w:val="en-US" w:eastAsia="zh-CN" w:bidi="ar"/>
        </w:rPr>
        <w:t xml:space="preserve">HJ </w:t>
      </w:r>
      <w:r>
        <w:rPr>
          <w:rFonts w:hint="eastAsia" w:ascii="宋体" w:hAnsi="宋体" w:eastAsia="宋体" w:cs="宋体"/>
          <w:kern w:val="0"/>
          <w:sz w:val="24"/>
          <w:szCs w:val="24"/>
          <w:lang w:val="en-US" w:eastAsia="zh-CN" w:bidi="ar"/>
        </w:rPr>
        <w:t>953</w:t>
      </w:r>
      <w:r>
        <w:rPr>
          <w:rFonts w:hint="default" w:ascii="宋体" w:hAnsi="宋体" w:eastAsia="宋体" w:cs="宋体"/>
          <w:kern w:val="0"/>
          <w:sz w:val="24"/>
          <w:szCs w:val="24"/>
          <w:lang w:val="en-US" w:eastAsia="zh-CN" w:bidi="ar"/>
        </w:rPr>
        <w:t>—20</w:t>
      </w:r>
      <w:r>
        <w:rPr>
          <w:rFonts w:hint="eastAsia" w:ascii="宋体" w:hAnsi="宋体" w:eastAsia="宋体" w:cs="宋体"/>
          <w:kern w:val="0"/>
          <w:sz w:val="24"/>
          <w:szCs w:val="24"/>
          <w:lang w:val="en-US" w:eastAsia="zh-CN" w:bidi="ar"/>
        </w:rPr>
        <w:t>18）中的表7锅炉烟气污染防治可行技术，本项目采用低氮燃烧技术天然气锅炉属于可行技术。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（3）大气环境影响分析结论</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本项目</w:t>
      </w:r>
      <w:r>
        <w:rPr>
          <w:rFonts w:hint="eastAsia" w:ascii="宋体" w:hAnsi="宋体" w:eastAsia="宋体" w:cs="宋体"/>
          <w:kern w:val="0"/>
          <w:sz w:val="24"/>
          <w:szCs w:val="24"/>
          <w:lang w:val="en-US" w:eastAsia="zh-CN" w:bidi="ar"/>
        </w:rPr>
        <w:t>所在区域</w:t>
      </w:r>
      <w:r>
        <w:rPr>
          <w:rFonts w:hint="default" w:ascii="宋体" w:hAnsi="宋体" w:eastAsia="宋体" w:cs="宋体"/>
          <w:kern w:val="0"/>
          <w:sz w:val="24"/>
          <w:szCs w:val="24"/>
          <w:lang w:val="en-US" w:eastAsia="zh-CN" w:bidi="ar"/>
        </w:rPr>
        <w:t>环境空气质量较好</w:t>
      </w:r>
      <w:r>
        <w:rPr>
          <w:rFonts w:hint="eastAsia" w:ascii="宋体" w:hAnsi="宋体" w:eastAsia="宋体" w:cs="宋体"/>
          <w:kern w:val="0"/>
          <w:sz w:val="24"/>
          <w:szCs w:val="24"/>
          <w:lang w:val="en-US" w:eastAsia="zh-CN" w:bidi="ar"/>
        </w:rPr>
        <w:t>，</w:t>
      </w:r>
      <w:r>
        <w:rPr>
          <w:rFonts w:hint="default" w:ascii="宋体" w:hAnsi="宋体" w:eastAsia="宋体" w:cs="宋体"/>
          <w:kern w:val="0"/>
          <w:sz w:val="24"/>
          <w:szCs w:val="24"/>
          <w:lang w:val="en-US" w:eastAsia="zh-CN" w:bidi="ar"/>
        </w:rPr>
        <w:t>项目运营期大气污染物均能达标排放，不会造成区域环境空气质量超标。因此，项目废气对大气环境的影响是可以接受的。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（二）运营期地表水环境影响及防治措施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（1）运营期废水产排情况</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项目天然气锅炉在运行期间会产生一定量的锅炉废水（锅炉定期排水及软化处理废水），此部分废水产生量为</w:t>
      </w:r>
      <w:r>
        <w:rPr>
          <w:rFonts w:hint="default" w:ascii="宋体" w:hAnsi="宋体" w:eastAsia="宋体" w:cs="宋体"/>
          <w:kern w:val="0"/>
          <w:sz w:val="24"/>
          <w:szCs w:val="24"/>
          <w:lang w:val="en-US" w:eastAsia="zh-CN" w:bidi="ar"/>
        </w:rPr>
        <w:t>18197</w:t>
      </w:r>
      <w:r>
        <w:rPr>
          <w:rFonts w:hint="eastAsia" w:ascii="宋体" w:hAnsi="宋体" w:eastAsia="宋体" w:cs="宋体"/>
          <w:kern w:val="0"/>
          <w:sz w:val="24"/>
          <w:szCs w:val="24"/>
          <w:lang w:val="en-US" w:eastAsia="zh-CN" w:bidi="ar"/>
        </w:rPr>
        <w:t>.</w:t>
      </w:r>
      <w:r>
        <w:rPr>
          <w:rFonts w:hint="default" w:ascii="宋体" w:hAnsi="宋体" w:eastAsia="宋体" w:cs="宋体"/>
          <w:kern w:val="0"/>
          <w:sz w:val="24"/>
          <w:szCs w:val="24"/>
          <w:lang w:val="en-US" w:eastAsia="zh-CN" w:bidi="ar"/>
        </w:rPr>
        <w:t>5t/a</w:t>
      </w:r>
      <w:r>
        <w:rPr>
          <w:rFonts w:hint="eastAsia" w:ascii="宋体" w:hAnsi="宋体" w:eastAsia="宋体" w:cs="宋体"/>
          <w:kern w:val="0"/>
          <w:sz w:val="24"/>
          <w:szCs w:val="24"/>
          <w:lang w:val="en-US" w:eastAsia="zh-CN" w:bidi="ar"/>
        </w:rPr>
        <w:t>，锅炉废水经收集进入蓄水池，回用于水肥系统，不外排</w:t>
      </w:r>
      <w:r>
        <w:rPr>
          <w:rFonts w:hint="default"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员工生活污水产生量为3219.3t/a，经隔油池和化粪池处理后接入市政污水管网。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（2）运营期废水污染防治措施可行性分析</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项目生产周期内日最大生活污水产生量约为8.82m</w:t>
      </w:r>
      <w:r>
        <w:rPr>
          <w:rFonts w:hint="default" w:ascii="宋体" w:hAnsi="宋体" w:eastAsia="宋体" w:cs="宋体"/>
          <w:kern w:val="0"/>
          <w:sz w:val="24"/>
          <w:szCs w:val="24"/>
          <w:vertAlign w:val="superscript"/>
          <w:lang w:val="en-US" w:eastAsia="zh-CN" w:bidi="ar"/>
        </w:rPr>
        <w:t>3</w:t>
      </w:r>
      <w:r>
        <w:rPr>
          <w:rFonts w:hint="default" w:ascii="宋体" w:hAnsi="宋体" w:eastAsia="宋体" w:cs="宋体"/>
          <w:kern w:val="0"/>
          <w:sz w:val="24"/>
          <w:szCs w:val="24"/>
          <w:lang w:val="en-US" w:eastAsia="zh-CN" w:bidi="ar"/>
        </w:rPr>
        <w:t>/d。本项目建成后分为南半区和北半区，分别设置两处生活办公区，本项目设置一座容积为1m³的隔油池，设置两座容积为4m³的化粪池，可满足本项目废水处理需求。</w:t>
      </w:r>
      <w:r>
        <w:rPr>
          <w:rFonts w:hint="eastAsia" w:ascii="宋体" w:hAnsi="宋体" w:eastAsia="宋体" w:cs="宋体"/>
          <w:kern w:val="0"/>
          <w:sz w:val="24"/>
          <w:szCs w:val="24"/>
          <w:lang w:val="en-US" w:eastAsia="zh-CN" w:bidi="ar"/>
        </w:rPr>
        <w:t>本项目水肥系统所需水量为615m³/d，回液系统回收的循环水为246m³/d，锅炉排污水和软化处理废水产生量为121.3m³/d，因此回液系统回收水、锅炉排污水和软化处理废水全部回用于水肥一体化系统可行。</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姚安县第二污水处理厂污水管网已铺设至项目区域附近，项目废水经预处理后可达到接管水质要求，项目废水排放量为</w:t>
      </w:r>
      <w:r>
        <w:rPr>
          <w:rFonts w:hint="default" w:ascii="宋体" w:hAnsi="宋体" w:eastAsia="宋体" w:cs="宋体"/>
          <w:kern w:val="0"/>
          <w:sz w:val="24"/>
          <w:szCs w:val="24"/>
          <w:lang w:val="en-US" w:eastAsia="zh-CN" w:bidi="ar"/>
        </w:rPr>
        <w:t>8.82m</w:t>
      </w:r>
      <w:r>
        <w:rPr>
          <w:rFonts w:hint="default" w:ascii="宋体" w:hAnsi="宋体" w:eastAsia="宋体" w:cs="宋体"/>
          <w:kern w:val="0"/>
          <w:sz w:val="24"/>
          <w:szCs w:val="24"/>
          <w:vertAlign w:val="superscript"/>
          <w:lang w:val="en-US" w:eastAsia="zh-CN" w:bidi="ar"/>
        </w:rPr>
        <w:t>3</w:t>
      </w:r>
      <w:r>
        <w:rPr>
          <w:rFonts w:hint="default" w:ascii="宋体" w:hAnsi="宋体" w:eastAsia="宋体" w:cs="宋体"/>
          <w:kern w:val="0"/>
          <w:sz w:val="24"/>
          <w:szCs w:val="24"/>
          <w:lang w:val="en-US" w:eastAsia="zh-CN" w:bidi="ar"/>
        </w:rPr>
        <w:t>/d</w:t>
      </w:r>
      <w:r>
        <w:rPr>
          <w:rFonts w:hint="eastAsia" w:ascii="宋体" w:hAnsi="宋体" w:eastAsia="宋体" w:cs="宋体"/>
          <w:kern w:val="0"/>
          <w:sz w:val="24"/>
          <w:szCs w:val="24"/>
          <w:lang w:val="en-US" w:eastAsia="zh-CN" w:bidi="ar"/>
        </w:rPr>
        <w:t>，仅占姚安县第二污水处理厂</w:t>
      </w:r>
      <w:r>
        <w:rPr>
          <w:rFonts w:hint="default" w:ascii="宋体" w:hAnsi="宋体" w:eastAsia="宋体" w:cs="宋体"/>
          <w:kern w:val="0"/>
          <w:sz w:val="24"/>
          <w:szCs w:val="24"/>
          <w:lang w:val="en-US" w:eastAsia="zh-CN" w:bidi="ar"/>
        </w:rPr>
        <w:t>已建污水处理规模为5000t/d</w:t>
      </w:r>
      <w:r>
        <w:rPr>
          <w:rFonts w:hint="eastAsia" w:ascii="宋体" w:hAnsi="宋体" w:eastAsia="宋体" w:cs="宋体"/>
          <w:kern w:val="0"/>
          <w:sz w:val="24"/>
          <w:szCs w:val="24"/>
          <w:lang w:val="en-US" w:eastAsia="zh-CN" w:bidi="ar"/>
        </w:rPr>
        <w:t>的0.2%</w:t>
      </w:r>
      <w:r>
        <w:rPr>
          <w:rFonts w:hint="default"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因此，项目运营期废水采取上述防治措施可行。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（3）地表水环境影响分析结论</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本项目的水污染物控制和水环境影响减缓措施具有有效性，各环节产生的污水采取相应措施后具有环境可行性，本项目地表水环境影响是可以接受的。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（三）运营期声环境影响及防治措施</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项目运营期噪声主要为设备噪声和社会噪声，设备噪声主要来自水肥一体化设备、锅炉以及各种水泵等，社会噪声主要为工作人员产生的嘈杂声和进出车辆产生的交通噪声</w:t>
      </w:r>
      <w:r>
        <w:rPr>
          <w:rFonts w:hint="eastAsia" w:ascii="宋体" w:hAnsi="宋体" w:eastAsia="宋体" w:cs="宋体"/>
          <w:kern w:val="0"/>
          <w:sz w:val="24"/>
          <w:szCs w:val="24"/>
          <w:lang w:val="en-US" w:eastAsia="zh-CN" w:bidi="ar"/>
        </w:rPr>
        <w:t>。项目运营期噪声源强在70dB（A）-85dB（A）之间，经厂房隔声及距离衰减后，在各厂界均能达标排放，</w:t>
      </w:r>
      <w:r>
        <w:rPr>
          <w:rFonts w:hint="default" w:ascii="宋体" w:hAnsi="宋体" w:eastAsia="宋体" w:cs="宋体"/>
          <w:kern w:val="0"/>
          <w:sz w:val="24"/>
          <w:szCs w:val="24"/>
          <w:lang w:val="en-US" w:eastAsia="zh-CN" w:bidi="ar"/>
        </w:rPr>
        <w:t>因此本项目运营期间所产生的噪声对周围环境的影响程度可接受</w:t>
      </w:r>
      <w:r>
        <w:rPr>
          <w:rFonts w:hint="eastAsia" w:ascii="宋体" w:hAnsi="宋体" w:eastAsia="宋体" w:cs="宋体"/>
          <w:kern w:val="0"/>
          <w:sz w:val="24"/>
          <w:szCs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宋体" w:hAnsi="宋体" w:eastAsia="仿宋" w:cs="宋体"/>
          <w:b/>
          <w:bCs/>
          <w:color w:val="auto"/>
          <w:sz w:val="24"/>
          <w:szCs w:val="24"/>
          <w:highlight w:val="none"/>
          <w:lang w:val="en-US" w:eastAsia="zh-CN"/>
        </w:rPr>
      </w:pPr>
      <w:r>
        <w:rPr>
          <w:rFonts w:hint="eastAsia" w:ascii="宋体" w:hAnsi="宋体" w:eastAsia="仿宋" w:cs="宋体"/>
          <w:b/>
          <w:bCs/>
          <w:color w:val="auto"/>
          <w:sz w:val="24"/>
          <w:szCs w:val="24"/>
          <w:highlight w:val="none"/>
          <w:lang w:val="en-US" w:eastAsia="zh-CN"/>
        </w:rPr>
        <w:t>（四）运营期</w:t>
      </w:r>
      <w:r>
        <w:rPr>
          <w:rFonts w:hint="eastAsia" w:ascii="宋体" w:hAnsi="宋体" w:cs="宋体"/>
          <w:b/>
          <w:bCs/>
          <w:color w:val="auto"/>
          <w:sz w:val="24"/>
          <w:szCs w:val="24"/>
          <w:highlight w:val="none"/>
          <w:lang w:val="en-US" w:eastAsia="zh-CN"/>
        </w:rPr>
        <w:t>固废产生情况及防治措施</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项目运营期间固体废物</w:t>
      </w:r>
      <w:r>
        <w:rPr>
          <w:rFonts w:hint="eastAsia" w:ascii="宋体" w:hAnsi="宋体" w:eastAsia="宋体" w:cs="宋体"/>
          <w:kern w:val="0"/>
          <w:sz w:val="24"/>
          <w:szCs w:val="24"/>
          <w:lang w:val="en-US" w:eastAsia="zh-CN" w:bidi="ar"/>
        </w:rPr>
        <w:t>种类及产生量</w:t>
      </w:r>
      <w:r>
        <w:rPr>
          <w:rFonts w:hint="default" w:ascii="宋体" w:hAnsi="宋体" w:eastAsia="宋体" w:cs="宋体"/>
          <w:kern w:val="0"/>
          <w:sz w:val="24"/>
          <w:szCs w:val="24"/>
          <w:lang w:val="en-US" w:eastAsia="zh-CN" w:bidi="ar"/>
        </w:rPr>
        <w:t>为生活垃圾</w:t>
      </w:r>
      <w:r>
        <w:rPr>
          <w:rFonts w:hint="eastAsia" w:ascii="宋体" w:hAnsi="宋体" w:eastAsia="宋体" w:cs="宋体"/>
          <w:kern w:val="0"/>
          <w:sz w:val="24"/>
          <w:szCs w:val="24"/>
          <w:lang w:val="en-US" w:eastAsia="zh-CN" w:bidi="ar"/>
        </w:rPr>
        <w:t>25.55t/a</w:t>
      </w:r>
      <w:r>
        <w:rPr>
          <w:rFonts w:hint="default" w:ascii="宋体" w:hAnsi="宋体" w:eastAsia="宋体" w:cs="宋体"/>
          <w:kern w:val="0"/>
          <w:sz w:val="24"/>
          <w:szCs w:val="24"/>
          <w:lang w:val="en-US" w:eastAsia="zh-CN" w:bidi="ar"/>
        </w:rPr>
        <w:t>、花卉秸秆</w:t>
      </w:r>
      <w:r>
        <w:rPr>
          <w:rFonts w:hint="eastAsia" w:ascii="宋体" w:hAnsi="宋体" w:eastAsia="宋体" w:cs="宋体"/>
          <w:kern w:val="0"/>
          <w:sz w:val="24"/>
          <w:szCs w:val="24"/>
          <w:lang w:val="en-US" w:eastAsia="zh-CN" w:bidi="ar"/>
        </w:rPr>
        <w:t>410t/a</w:t>
      </w:r>
      <w:r>
        <w:rPr>
          <w:rFonts w:hint="default" w:ascii="宋体" w:hAnsi="宋体" w:eastAsia="宋体" w:cs="宋体"/>
          <w:kern w:val="0"/>
          <w:sz w:val="24"/>
          <w:szCs w:val="24"/>
          <w:lang w:val="en-US" w:eastAsia="zh-CN" w:bidi="ar"/>
        </w:rPr>
        <w:t>、废弃肥料包装袋</w:t>
      </w:r>
      <w:r>
        <w:rPr>
          <w:rFonts w:hint="eastAsia" w:ascii="宋体" w:hAnsi="宋体" w:eastAsia="宋体" w:cs="宋体"/>
          <w:kern w:val="0"/>
          <w:sz w:val="24"/>
          <w:szCs w:val="24"/>
          <w:lang w:val="en-US" w:eastAsia="zh-CN" w:bidi="ar"/>
        </w:rPr>
        <w:t>1.21t/a</w:t>
      </w:r>
      <w:r>
        <w:rPr>
          <w:rFonts w:hint="default" w:ascii="宋体" w:hAnsi="宋体" w:eastAsia="宋体" w:cs="宋体"/>
          <w:kern w:val="0"/>
          <w:sz w:val="24"/>
          <w:szCs w:val="24"/>
          <w:lang w:val="en-US" w:eastAsia="zh-CN" w:bidi="ar"/>
        </w:rPr>
        <w:t>、软化水处理设备废离子交换树脂</w:t>
      </w:r>
      <w:r>
        <w:rPr>
          <w:rFonts w:hint="eastAsia" w:ascii="宋体" w:hAnsi="宋体" w:eastAsia="宋体" w:cs="宋体"/>
          <w:kern w:val="0"/>
          <w:sz w:val="24"/>
          <w:szCs w:val="24"/>
          <w:lang w:val="en-US" w:eastAsia="zh-CN" w:bidi="ar"/>
        </w:rPr>
        <w:t>1.84t/a</w:t>
      </w:r>
      <w:r>
        <w:rPr>
          <w:rFonts w:hint="default" w:ascii="宋体" w:hAnsi="宋体" w:eastAsia="宋体" w:cs="宋体"/>
          <w:kern w:val="0"/>
          <w:sz w:val="24"/>
          <w:szCs w:val="24"/>
          <w:lang w:val="en-US" w:eastAsia="zh-CN" w:bidi="ar"/>
        </w:rPr>
        <w:t>、废农药包装袋</w:t>
      </w:r>
      <w:r>
        <w:rPr>
          <w:rFonts w:hint="eastAsia" w:ascii="宋体" w:hAnsi="宋体" w:eastAsia="宋体" w:cs="宋体"/>
          <w:kern w:val="0"/>
          <w:sz w:val="24"/>
          <w:szCs w:val="24"/>
          <w:lang w:val="en-US" w:eastAsia="zh-CN" w:bidi="ar"/>
        </w:rPr>
        <w:t>0.154t/a</w:t>
      </w:r>
      <w:r>
        <w:rPr>
          <w:rFonts w:hint="default" w:ascii="宋体" w:hAnsi="宋体" w:eastAsia="宋体" w:cs="宋体"/>
          <w:kern w:val="0"/>
          <w:sz w:val="24"/>
          <w:szCs w:val="24"/>
          <w:lang w:val="en-US" w:eastAsia="zh-CN" w:bidi="ar"/>
        </w:rPr>
        <w:t>、废机油</w:t>
      </w:r>
      <w:r>
        <w:rPr>
          <w:rFonts w:hint="eastAsia" w:ascii="宋体" w:hAnsi="宋体" w:eastAsia="宋体" w:cs="宋体"/>
          <w:kern w:val="0"/>
          <w:sz w:val="24"/>
          <w:szCs w:val="24"/>
          <w:lang w:val="en-US" w:eastAsia="zh-CN" w:bidi="ar"/>
        </w:rPr>
        <w:t>0.02t/a</w:t>
      </w:r>
      <w:r>
        <w:rPr>
          <w:rFonts w:hint="default" w:ascii="宋体" w:hAnsi="宋体" w:eastAsia="宋体" w:cs="宋体"/>
          <w:kern w:val="0"/>
          <w:sz w:val="24"/>
          <w:szCs w:val="24"/>
          <w:lang w:val="en-US" w:eastAsia="zh-CN" w:bidi="ar"/>
        </w:rPr>
        <w:t>。</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项目生活垃圾经垃圾桶收集后交环卫部门清运。花卉秸秆经</w:t>
      </w:r>
      <w:r>
        <w:rPr>
          <w:rFonts w:hint="default" w:ascii="宋体" w:hAnsi="宋体" w:eastAsia="宋体" w:cs="宋体"/>
          <w:kern w:val="0"/>
          <w:sz w:val="24"/>
          <w:szCs w:val="24"/>
          <w:lang w:val="en-US" w:eastAsia="zh-CN" w:bidi="ar"/>
        </w:rPr>
        <w:t>废弃物处理车间铡草机处理后由当地</w:t>
      </w:r>
      <w:r>
        <w:rPr>
          <w:rFonts w:hint="eastAsia" w:ascii="宋体" w:hAnsi="宋体" w:eastAsia="宋体" w:cs="宋体"/>
          <w:kern w:val="0"/>
          <w:sz w:val="24"/>
          <w:szCs w:val="24"/>
          <w:lang w:val="en-US" w:eastAsia="zh-CN" w:bidi="ar"/>
        </w:rPr>
        <w:t>农户</w:t>
      </w:r>
      <w:r>
        <w:rPr>
          <w:rFonts w:hint="default" w:ascii="宋体" w:hAnsi="宋体" w:eastAsia="宋体" w:cs="宋体"/>
          <w:kern w:val="0"/>
          <w:sz w:val="24"/>
          <w:szCs w:val="24"/>
          <w:lang w:val="en-US" w:eastAsia="zh-CN" w:bidi="ar"/>
        </w:rPr>
        <w:t>用于有机肥，无法利用部分交当地环卫部门转运</w:t>
      </w:r>
      <w:r>
        <w:rPr>
          <w:rFonts w:hint="eastAsia" w:ascii="宋体" w:hAnsi="宋体" w:eastAsia="宋体" w:cs="宋体"/>
          <w:kern w:val="0"/>
          <w:sz w:val="24"/>
          <w:szCs w:val="24"/>
          <w:lang w:val="en-US" w:eastAsia="zh-CN" w:bidi="ar"/>
        </w:rPr>
        <w:t>。废弃废料包装袋出售</w:t>
      </w:r>
      <w:r>
        <w:rPr>
          <w:rFonts w:hint="eastAsia" w:ascii="宋体" w:hAnsi="宋体" w:cs="宋体"/>
          <w:kern w:val="0"/>
          <w:sz w:val="24"/>
          <w:szCs w:val="24"/>
          <w:lang w:val="en-US" w:eastAsia="zh-CN" w:bidi="ar"/>
        </w:rPr>
        <w:t>给</w:t>
      </w:r>
      <w:bookmarkStart w:id="2" w:name="_GoBack"/>
      <w:bookmarkEnd w:id="2"/>
      <w:r>
        <w:rPr>
          <w:rFonts w:hint="eastAsia" w:ascii="宋体" w:hAnsi="宋体" w:eastAsia="宋体" w:cs="宋体"/>
          <w:kern w:val="0"/>
          <w:sz w:val="24"/>
          <w:szCs w:val="24"/>
          <w:lang w:val="en-US" w:eastAsia="zh-CN" w:bidi="ar"/>
        </w:rPr>
        <w:t>资源回收部门。软化水处理设备废弃离子交换树脂由厂家维护人员更换带走。废农药包装袋和废机油暂存危险废物暂存间，交有资质单位定期转运处置。</w:t>
      </w:r>
    </w:p>
    <w:p>
      <w:pPr>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运营期固体废物均得到合理处置，处置率达100%，对周围环境影响较小。</w:t>
      </w:r>
    </w:p>
    <w:p>
      <w:pPr>
        <w:rPr>
          <w:rFonts w:hint="default" w:ascii="Times New Roman" w:hAnsi="Times New Roman" w:eastAsia="宋体" w:cs="Times New Roman"/>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3"/>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DIxNTkzOGMyODJhNTc5YTE0ZWIxNzg1NTk0M2IifQ=="/>
    <w:docVar w:name="KSO_WPS_MARK_KEY" w:val="d36ea6c2-c785-4ce9-be8a-7e5854767f46"/>
  </w:docVars>
  <w:rsids>
    <w:rsidRoot w:val="00172A27"/>
    <w:rsid w:val="00F44F67"/>
    <w:rsid w:val="09D9119E"/>
    <w:rsid w:val="0E1F1EAC"/>
    <w:rsid w:val="11102C3E"/>
    <w:rsid w:val="12621E7F"/>
    <w:rsid w:val="13420F30"/>
    <w:rsid w:val="16337E88"/>
    <w:rsid w:val="16C136E5"/>
    <w:rsid w:val="175005D3"/>
    <w:rsid w:val="21427902"/>
    <w:rsid w:val="2BA8019A"/>
    <w:rsid w:val="3AFF7693"/>
    <w:rsid w:val="3B5D312D"/>
    <w:rsid w:val="41695D57"/>
    <w:rsid w:val="41C52D17"/>
    <w:rsid w:val="42991B12"/>
    <w:rsid w:val="46001285"/>
    <w:rsid w:val="47AD3FC5"/>
    <w:rsid w:val="4CC71283"/>
    <w:rsid w:val="4EE928B7"/>
    <w:rsid w:val="4F5079BA"/>
    <w:rsid w:val="4FF2427F"/>
    <w:rsid w:val="501609FD"/>
    <w:rsid w:val="53526980"/>
    <w:rsid w:val="59C808BC"/>
    <w:rsid w:val="6324564F"/>
    <w:rsid w:val="63376D1B"/>
    <w:rsid w:val="6959457A"/>
    <w:rsid w:val="6C845FAB"/>
    <w:rsid w:val="6D2100AF"/>
    <w:rsid w:val="6F92755F"/>
    <w:rsid w:val="70BA4029"/>
    <w:rsid w:val="7710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next w:val="1"/>
    <w:semiHidden/>
    <w:unhideWhenUsed/>
    <w:qFormat/>
    <w:uiPriority w:val="0"/>
    <w:pPr>
      <w:keepNext/>
      <w:keepLines/>
      <w:widowControl w:val="0"/>
      <w:suppressLineNumbers w:val="0"/>
      <w:adjustRightInd w:val="0"/>
      <w:snapToGrid w:val="0"/>
      <w:spacing w:before="100" w:beforeLines="100" w:beforeAutospacing="0" w:after="0" w:afterAutospacing="1" w:line="360" w:lineRule="auto"/>
      <w:ind w:left="420" w:leftChars="200" w:firstLine="200" w:firstLineChars="200"/>
      <w:jc w:val="left"/>
      <w:outlineLvl w:val="1"/>
    </w:pPr>
    <w:rPr>
      <w:rFonts w:hint="default" w:ascii="Times New Roman" w:hAnsi="Times New Roman" w:eastAsia="宋体" w:cs="Times New Roman"/>
      <w:b/>
      <w:bCs/>
      <w:kern w:val="2"/>
      <w:sz w:val="24"/>
      <w:szCs w:val="24"/>
      <w:lang w:val="en-US" w:eastAsia="zh-CN" w:bidi="ar"/>
    </w:rPr>
  </w:style>
  <w:style w:type="paragraph" w:styleId="3">
    <w:name w:val="heading 3"/>
    <w:basedOn w:val="1"/>
    <w:next w:val="1"/>
    <w:unhideWhenUsed/>
    <w:qFormat/>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Normal Indent"/>
    <w:basedOn w:val="1"/>
    <w:unhideWhenUsed/>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
    </w:rPr>
  </w:style>
  <w:style w:type="paragraph" w:styleId="5">
    <w:name w:val="caption"/>
    <w:basedOn w:val="1"/>
    <w:next w:val="1"/>
    <w:qFormat/>
    <w:uiPriority w:val="0"/>
    <w:pPr>
      <w:widowControl/>
      <w:jc w:val="left"/>
    </w:pPr>
    <w:rPr>
      <w:rFonts w:ascii="Arial" w:hAnsi="Arial" w:eastAsia="黑体" w:cs="Arial"/>
      <w:sz w:val="20"/>
      <w:szCs w:val="20"/>
    </w:rPr>
  </w:style>
  <w:style w:type="paragraph" w:styleId="6">
    <w:name w:val="Body Text"/>
    <w:basedOn w:val="1"/>
    <w:next w:val="1"/>
    <w:qFormat/>
    <w:uiPriority w:val="0"/>
    <w:pPr>
      <w:widowControl/>
      <w:snapToGrid w:val="0"/>
      <w:spacing w:before="60" w:after="160" w:line="259" w:lineRule="auto"/>
      <w:ind w:right="113"/>
    </w:pPr>
    <w:rPr>
      <w:kern w:val="0"/>
      <w:sz w:val="18"/>
      <w:szCs w:val="20"/>
    </w:rPr>
  </w:style>
  <w:style w:type="paragraph" w:styleId="7">
    <w:name w:val="Body Text Indent 2"/>
    <w:basedOn w:val="1"/>
    <w:next w:val="1"/>
    <w:qFormat/>
    <w:uiPriority w:val="0"/>
    <w:pPr>
      <w:spacing w:line="460" w:lineRule="exact"/>
      <w:ind w:firstLine="568" w:firstLineChars="203"/>
    </w:pPr>
    <w:rPr>
      <w:rFonts w:eastAsia="宋体" w:cs="Times New Roman"/>
      <w:sz w:val="28"/>
      <w:szCs w:val="20"/>
    </w:rPr>
  </w:style>
  <w:style w:type="paragraph" w:styleId="8">
    <w:name w:val="footer"/>
    <w:basedOn w:val="1"/>
    <w:qFormat/>
    <w:uiPriority w:val="99"/>
    <w:pPr>
      <w:tabs>
        <w:tab w:val="center" w:pos="4153"/>
        <w:tab w:val="right" w:pos="8306"/>
      </w:tabs>
      <w:snapToGrid w:val="0"/>
      <w:jc w:val="left"/>
    </w:pPr>
    <w:rPr>
      <w:kern w:val="0"/>
      <w:sz w:val="18"/>
      <w:szCs w:val="20"/>
    </w:rPr>
  </w:style>
  <w:style w:type="paragraph" w:styleId="9">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0"/>
    <w:pPr>
      <w:widowControl/>
      <w:spacing w:before="0" w:beforeAutospacing="1" w:after="0" w:afterAutospacing="1" w:line="240" w:lineRule="auto"/>
      <w:ind w:left="0" w:right="0" w:firstLine="0" w:firstLineChars="0"/>
      <w:jc w:val="left"/>
    </w:pPr>
    <w:rPr>
      <w:rFonts w:ascii="宋体" w:hAnsi="宋体" w:eastAsia="宋体" w:cs="宋体"/>
      <w:kern w:val="0"/>
      <w:sz w:val="24"/>
      <w:lang w:val="en-US" w:eastAsia="zh-CN" w:bidi="ar"/>
    </w:rPr>
  </w:style>
  <w:style w:type="paragraph" w:styleId="11">
    <w:name w:val="Body Text First Indent"/>
    <w:basedOn w:val="6"/>
    <w:next w:val="1"/>
    <w:unhideWhenUsed/>
    <w:qFormat/>
    <w:uiPriority w:val="99"/>
    <w:pPr>
      <w:ind w:firstLine="420" w:firstLineChars="100"/>
    </w:pPr>
  </w:style>
  <w:style w:type="paragraph" w:styleId="12">
    <w:name w:val="Body Text First Indent 2"/>
    <w:basedOn w:val="1"/>
    <w:next w:val="11"/>
    <w:qFormat/>
    <w:uiPriority w:val="0"/>
    <w:pPr>
      <w:ind w:firstLine="420" w:firstLineChars="200"/>
    </w:pPr>
  </w:style>
  <w:style w:type="table" w:styleId="14">
    <w:name w:val="Table Grid"/>
    <w:basedOn w:val="1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qFormat/>
    <w:uiPriority w:val="0"/>
  </w:style>
  <w:style w:type="paragraph" w:customStyle="1" w:styleId="17">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18">
    <w:name w:val="标题三 李健"/>
    <w:basedOn w:val="3"/>
    <w:qFormat/>
    <w:uiPriority w:val="0"/>
    <w:pPr>
      <w:spacing w:before="0" w:beforeLines="0" w:after="0" w:afterLines="0" w:line="360" w:lineRule="auto"/>
    </w:pPr>
    <w:rPr>
      <w:rFonts w:eastAsia="黑体"/>
      <w:b w:val="0"/>
      <w:sz w:val="24"/>
      <w:szCs w:val="24"/>
    </w:rPr>
  </w:style>
  <w:style w:type="character" w:customStyle="1" w:styleId="19">
    <w:name w:val="font11"/>
    <w:basedOn w:val="15"/>
    <w:qFormat/>
    <w:uiPriority w:val="0"/>
    <w:rPr>
      <w:rFonts w:hint="default" w:ascii="Times New Roman" w:hAnsi="Times New Roman" w:cs="Times New Roman"/>
      <w:color w:val="000000"/>
      <w:sz w:val="21"/>
      <w:szCs w:val="21"/>
      <w:u w:val="none"/>
    </w:rPr>
  </w:style>
  <w:style w:type="paragraph" w:customStyle="1" w:styleId="20">
    <w:name w:val="0"/>
    <w:basedOn w:val="1"/>
    <w:qFormat/>
    <w:uiPriority w:val="0"/>
    <w:pPr>
      <w:widowControl/>
      <w:snapToGrid w:val="0"/>
    </w:pPr>
    <w:rPr>
      <w:kern w:val="0"/>
      <w:szCs w:val="21"/>
    </w:rPr>
  </w:style>
  <w:style w:type="character" w:customStyle="1" w:styleId="21">
    <w:name w:val="10"/>
    <w:basedOn w:val="15"/>
    <w:qFormat/>
    <w:uiPriority w:val="0"/>
    <w:rPr>
      <w:rFonts w:hint="default" w:ascii="Times New Roman" w:hAnsi="Times New Roman" w:cs="Times New Roman"/>
    </w:rPr>
  </w:style>
  <w:style w:type="character" w:customStyle="1" w:styleId="22">
    <w:name w:val="15"/>
    <w:basedOn w:val="15"/>
    <w:qFormat/>
    <w:uiPriority w:val="0"/>
    <w:rPr>
      <w:rFonts w:hint="default" w:ascii="Times New Roman" w:hAnsi="Times New Roman" w:cs="Times New Roman"/>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7749</Words>
  <Characters>9614</Characters>
  <Lines>1</Lines>
  <Paragraphs>1</Paragraphs>
  <TotalTime>18</TotalTime>
  <ScaleCrop>false</ScaleCrop>
  <LinksUpToDate>false</LinksUpToDate>
  <CharactersWithSpaces>9683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2024-01-19T03:22:00Z</dcterms:created>
  <dc:creator>不如这样</dc:creator>
  <cp:lastModifiedBy>Administrator</cp:lastModifiedBy>
  <dcterms:modified xsi:type="dcterms:W3CDTF">2024-05-06T09:30:12Z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569906748B8C4DDF91E09D57CB5E548B_13</vt:lpwstr>
  </property>
</Properties>
</file>