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6"/>
        <w:jc w:val="center"/>
        <w:rPr>
          <w:b/>
          <w:color w:val="auto"/>
          <w:sz w:val="72"/>
          <w:szCs w:val="72"/>
        </w:rPr>
      </w:pPr>
      <w:bookmarkStart w:id="127" w:name="_GoBack"/>
      <w:bookmarkEnd w:id="127"/>
    </w:p>
    <w:p>
      <w:pPr>
        <w:adjustRightInd w:val="0"/>
        <w:snapToGrid w:val="0"/>
        <w:spacing w:line="240" w:lineRule="auto"/>
        <w:ind w:firstLine="0" w:firstLineChars="0"/>
        <w:jc w:val="center"/>
        <w:outlineLvl w:val="0"/>
        <w:rPr>
          <w:rFonts w:ascii="方正小标宋_GBK" w:eastAsia="方正小标宋_GBK"/>
          <w:bCs/>
          <w:color w:val="auto"/>
          <w:sz w:val="72"/>
          <w:szCs w:val="72"/>
        </w:rPr>
      </w:pPr>
      <w:bookmarkStart w:id="0" w:name="_Toc15405"/>
      <w:bookmarkStart w:id="1" w:name="_Toc1418"/>
      <w:bookmarkStart w:id="2" w:name="_Toc15348"/>
      <w:bookmarkStart w:id="3" w:name="_Toc68101064"/>
      <w:r>
        <w:rPr>
          <w:rFonts w:hint="eastAsia" w:ascii="方正小标宋_GBK" w:eastAsia="方正小标宋_GBK"/>
          <w:bCs/>
          <w:color w:val="auto"/>
          <w:sz w:val="72"/>
          <w:szCs w:val="72"/>
        </w:rPr>
        <w:t>建设项目环境影响报告表</w:t>
      </w:r>
      <w:bookmarkEnd w:id="0"/>
      <w:bookmarkEnd w:id="1"/>
      <w:bookmarkEnd w:id="2"/>
      <w:bookmarkEnd w:id="3"/>
    </w:p>
    <w:p>
      <w:pPr>
        <w:adjustRightInd w:val="0"/>
        <w:snapToGrid w:val="0"/>
        <w:spacing w:before="249" w:beforeLines="80" w:line="240" w:lineRule="auto"/>
        <w:ind w:firstLine="0" w:firstLineChars="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ind w:firstLine="643"/>
        <w:jc w:val="center"/>
        <w:rPr>
          <w:b/>
          <w:color w:val="auto"/>
          <w:sz w:val="32"/>
          <w:szCs w:val="32"/>
        </w:rPr>
      </w:pPr>
    </w:p>
    <w:p>
      <w:pPr>
        <w:ind w:firstLine="643"/>
        <w:jc w:val="center"/>
        <w:rPr>
          <w:b/>
          <w:color w:val="auto"/>
          <w:sz w:val="32"/>
          <w:szCs w:val="32"/>
        </w:rPr>
      </w:pPr>
    </w:p>
    <w:p>
      <w:pPr>
        <w:ind w:firstLine="643"/>
        <w:jc w:val="center"/>
        <w:rPr>
          <w:b/>
          <w:color w:val="auto"/>
          <w:sz w:val="32"/>
          <w:szCs w:val="32"/>
        </w:rPr>
      </w:pPr>
    </w:p>
    <w:p>
      <w:pPr>
        <w:ind w:firstLine="643"/>
        <w:jc w:val="center"/>
        <w:rPr>
          <w:b/>
          <w:color w:val="auto"/>
          <w:sz w:val="32"/>
          <w:szCs w:val="32"/>
        </w:rPr>
      </w:pPr>
    </w:p>
    <w:p>
      <w:pPr>
        <w:ind w:firstLine="0" w:firstLineChars="0"/>
        <w:rPr>
          <w:b/>
          <w:color w:val="auto"/>
          <w:sz w:val="32"/>
          <w:szCs w:val="32"/>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480" w:lineRule="auto"/>
        <w:ind w:firstLine="720"/>
        <w:jc w:val="both"/>
        <w:rPr>
          <w:rFonts w:hint="eastAsia" w:ascii="宋体" w:hAnsi="宋体" w:eastAsia="宋体" w:cs="宋体"/>
          <w:b w:val="0"/>
          <w:bCs w:val="0"/>
          <w:color w:val="auto"/>
          <w:sz w:val="36"/>
          <w:szCs w:val="36"/>
          <w:lang w:eastAsia="zh-CN"/>
        </w:rPr>
      </w:pPr>
      <w:r>
        <w:rPr>
          <w:rFonts w:hint="eastAsia" w:ascii="宋体" w:hAnsi="宋体" w:eastAsia="宋体" w:cs="宋体"/>
          <w:b w:val="0"/>
          <w:bCs w:val="0"/>
          <w:color w:val="auto"/>
          <w:sz w:val="36"/>
          <w:szCs w:val="36"/>
        </w:rPr>
        <w:t>项目名称</w:t>
      </w:r>
      <w:r>
        <w:rPr>
          <w:rFonts w:hint="eastAsia" w:ascii="宋体" w:hAnsi="宋体" w:eastAsia="宋体" w:cs="宋体"/>
          <w:b w:val="0"/>
          <w:bCs w:val="0"/>
          <w:color w:val="auto"/>
          <w:sz w:val="36"/>
          <w:szCs w:val="36"/>
          <w:lang w:eastAsia="zh-CN"/>
        </w:rPr>
        <w:t>：</w:t>
      </w:r>
      <w:r>
        <w:rPr>
          <w:rFonts w:hint="eastAsia" w:ascii="宋体" w:hAnsi="宋体" w:eastAsia="宋体" w:cs="宋体"/>
          <w:b w:val="0"/>
          <w:bCs w:val="0"/>
          <w:color w:val="auto"/>
          <w:sz w:val="36"/>
          <w:szCs w:val="36"/>
          <w:u w:val="single"/>
          <w:lang w:eastAsia="zh-CN"/>
        </w:rPr>
        <w:t>姚安县保健院妇婴医院住院综合楼建设项目</w:t>
      </w:r>
    </w:p>
    <w:p>
      <w:pPr>
        <w:adjustRightInd w:val="0"/>
        <w:snapToGrid w:val="0"/>
        <w:spacing w:line="480" w:lineRule="auto"/>
        <w:ind w:firstLine="720"/>
        <w:jc w:val="both"/>
        <w:rPr>
          <w:rFonts w:hint="eastAsia" w:ascii="宋体" w:hAnsi="宋体" w:eastAsia="宋体" w:cs="宋体"/>
          <w:b w:val="0"/>
          <w:bCs w:val="0"/>
          <w:color w:val="auto"/>
          <w:sz w:val="36"/>
          <w:szCs w:val="36"/>
          <w:u w:val="single"/>
        </w:rPr>
      </w:pPr>
      <w:r>
        <w:rPr>
          <w:rFonts w:hint="eastAsia" w:ascii="宋体" w:hAnsi="宋体" w:eastAsia="宋体" w:cs="宋体"/>
          <w:b w:val="0"/>
          <w:bCs w:val="0"/>
          <w:color w:val="auto"/>
          <w:sz w:val="36"/>
          <w:szCs w:val="36"/>
        </w:rPr>
        <w:t>建设单位：</w:t>
      </w:r>
      <w:r>
        <w:rPr>
          <w:rFonts w:hint="eastAsia" w:ascii="宋体" w:hAnsi="宋体" w:eastAsia="宋体" w:cs="宋体"/>
          <w:b w:val="0"/>
          <w:bCs w:val="0"/>
          <w:color w:val="auto"/>
          <w:sz w:val="36"/>
          <w:szCs w:val="36"/>
          <w:u w:val="single"/>
        </w:rPr>
        <w:t>姚安县妇幼保健计划生育服务中心</w:t>
      </w:r>
    </w:p>
    <w:p>
      <w:pPr>
        <w:adjustRightInd w:val="0"/>
        <w:snapToGrid w:val="0"/>
        <w:spacing w:line="480" w:lineRule="auto"/>
        <w:ind w:left="0" w:leftChars="0" w:right="0" w:rightChars="0" w:firstLine="0" w:firstLineChars="0"/>
        <w:jc w:val="center"/>
        <w:rPr>
          <w:rFonts w:hint="eastAsia" w:ascii="宋体" w:hAnsi="宋体" w:eastAsia="宋体" w:cs="宋体"/>
          <w:b w:val="0"/>
          <w:bCs w:val="0"/>
          <w:color w:val="auto"/>
          <w:sz w:val="36"/>
          <w:szCs w:val="36"/>
          <w:u w:val="single"/>
          <w:lang w:val="en-US" w:eastAsia="zh-CN"/>
        </w:rPr>
      </w:pPr>
      <w:r>
        <w:rPr>
          <w:rFonts w:hint="eastAsia" w:ascii="宋体" w:hAnsi="宋体" w:eastAsia="宋体" w:cs="宋体"/>
          <w:b w:val="0"/>
          <w:bCs w:val="0"/>
          <w:color w:val="auto"/>
          <w:sz w:val="36"/>
          <w:szCs w:val="36"/>
          <w:u w:val="single"/>
          <w:lang w:val="en-US" w:eastAsia="zh-CN"/>
        </w:rPr>
        <w:t>（姚安县妇幼保健院）</w:t>
      </w: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eastAsia="zh-CN"/>
        </w:rPr>
        <w:t>编制日期：</w:t>
      </w:r>
      <w:r>
        <w:rPr>
          <w:rFonts w:hint="eastAsia" w:ascii="宋体" w:hAnsi="宋体" w:eastAsia="宋体" w:cs="宋体"/>
          <w:b/>
          <w:bCs/>
          <w:color w:val="auto"/>
          <w:sz w:val="36"/>
          <w:szCs w:val="36"/>
          <w:lang w:val="en-US" w:eastAsia="zh-CN"/>
        </w:rPr>
        <w:t>2022年3月</w:t>
      </w: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cs="Times New Roman" w:asciiTheme="minorEastAsia" w:hAnsiTheme="minorEastAsia"/>
          <w:b/>
          <w:color w:val="auto"/>
          <w:sz w:val="32"/>
          <w:szCs w:val="32"/>
        </w:rPr>
      </w:pPr>
      <w:r>
        <w:rPr>
          <w:rFonts w:hint="eastAsia" w:ascii="楷体_GB2312" w:eastAsia="楷体_GB2312"/>
          <w:color w:val="auto"/>
          <w:sz w:val="36"/>
          <w:szCs w:val="36"/>
        </w:rPr>
        <w:t>中华人民共和国生态环境部制</w:t>
      </w:r>
    </w:p>
    <w:p>
      <w:pPr>
        <w:ind w:firstLine="199" w:firstLineChars="83"/>
        <w:rPr>
          <w:rFonts w:cs="Times New Roman" w:asciiTheme="minorEastAsia" w:hAnsiTheme="minorEastAsia"/>
          <w:color w:val="auto"/>
          <w:szCs w:val="20"/>
        </w:rPr>
      </w:pPr>
    </w:p>
    <w:p>
      <w:pPr>
        <w:ind w:firstLine="199" w:firstLineChars="83"/>
        <w:rPr>
          <w:rFonts w:cs="Times New Roman" w:asciiTheme="minorEastAsia" w:hAnsiTheme="minorEastAsia"/>
          <w:color w:val="auto"/>
          <w:szCs w:val="20"/>
        </w:rPr>
        <w:sectPr>
          <w:headerReference r:id="rId7" w:type="first"/>
          <w:footerReference r:id="rId10" w:type="first"/>
          <w:headerReference r:id="rId5" w:type="default"/>
          <w:footerReference r:id="rId8" w:type="default"/>
          <w:headerReference r:id="rId6" w:type="even"/>
          <w:footerReference r:id="rId9" w:type="even"/>
          <w:pgSz w:w="11906" w:h="16838"/>
          <w:pgMar w:top="1361" w:right="1247" w:bottom="1361" w:left="1247" w:header="992" w:footer="833" w:gutter="0"/>
          <w:pgBorders>
            <w:top w:val="none" w:sz="0" w:space="0"/>
            <w:left w:val="none" w:sz="0" w:space="0"/>
            <w:bottom w:val="none" w:sz="0" w:space="0"/>
            <w:right w:val="none" w:sz="0" w:space="0"/>
          </w:pgBorders>
          <w:pgNumType w:fmt="decimal"/>
          <w:cols w:space="425" w:num="1"/>
          <w:docGrid w:type="linesAndChars" w:linePitch="312" w:charSpace="0"/>
        </w:sect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1"/>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6" w:type="dxa"/>
            <w:gridSpan w:val="2"/>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b/>
                <w:bCs/>
                <w:color w:val="auto"/>
                <w:sz w:val="21"/>
                <w:szCs w:val="21"/>
                <w:vertAlign w:val="baseline"/>
                <w:lang w:eastAsia="zh-CN"/>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060065" cy="2185035"/>
                  <wp:effectExtent l="0" t="0" r="6985" b="5715"/>
                  <wp:docPr id="1" name="图片 1" descr="8e40f04a23824664af02a20411d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40f04a23824664af02a20411d0577"/>
                          <pic:cNvPicPr>
                            <a:picLocks noChangeAspect="1"/>
                          </pic:cNvPicPr>
                        </pic:nvPicPr>
                        <pic:blipFill>
                          <a:blip r:embed="rId18"/>
                          <a:srcRect r="2113"/>
                          <a:stretch>
                            <a:fillRect/>
                          </a:stretch>
                        </pic:blipFill>
                        <pic:spPr>
                          <a:xfrm>
                            <a:off x="0" y="0"/>
                            <a:ext cx="3060065" cy="218503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606675" cy="2266950"/>
                  <wp:effectExtent l="0" t="0" r="7620" b="11430"/>
                  <wp:docPr id="3" name="图片 3" descr="bf48af7cadb3187899bd0b3f1543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f48af7cadb3187899bd0b3f15431ca"/>
                          <pic:cNvPicPr>
                            <a:picLocks noChangeAspect="1"/>
                          </pic:cNvPicPr>
                        </pic:nvPicPr>
                        <pic:blipFill>
                          <a:blip r:embed="rId19"/>
                          <a:stretch>
                            <a:fillRect/>
                          </a:stretch>
                        </pic:blipFill>
                        <pic:spPr>
                          <a:xfrm>
                            <a:off x="0" y="0"/>
                            <a:ext cx="2606675" cy="2266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项目北面农田</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南面：姚安县人民医院儿童医学病区</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（原姚安县妇幼保健院）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284220" cy="2404745"/>
                  <wp:effectExtent l="0" t="0" r="1905" b="5080"/>
                  <wp:docPr id="4" name="图片 4" descr="f0c2d9640087eb01a7d8ec961955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0c2d9640087eb01a7d8ec961955c9e"/>
                          <pic:cNvPicPr>
                            <a:picLocks noChangeAspect="1"/>
                          </pic:cNvPicPr>
                        </pic:nvPicPr>
                        <pic:blipFill>
                          <a:blip r:embed="rId20"/>
                          <a:stretch>
                            <a:fillRect/>
                          </a:stretch>
                        </pic:blipFill>
                        <pic:spPr>
                          <a:xfrm>
                            <a:off x="0" y="0"/>
                            <a:ext cx="3284220" cy="240474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606675" cy="2407285"/>
                  <wp:effectExtent l="0" t="0" r="7620" b="2540"/>
                  <wp:docPr id="10" name="图片 10" descr="8bbae23f76925ae1392fa640c8ea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bae23f76925ae1392fa640c8eac55"/>
                          <pic:cNvPicPr>
                            <a:picLocks noChangeAspect="1"/>
                          </pic:cNvPicPr>
                        </pic:nvPicPr>
                        <pic:blipFill>
                          <a:blip r:embed="rId21"/>
                          <a:stretch>
                            <a:fillRect/>
                          </a:stretch>
                        </pic:blipFill>
                        <pic:spPr>
                          <a:xfrm>
                            <a:off x="0" y="0"/>
                            <a:ext cx="2606675" cy="2407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vertAlign w:val="baseline"/>
              </w:rPr>
            </w:pPr>
            <w:r>
              <w:rPr>
                <w:rFonts w:hint="eastAsia"/>
                <w:color w:val="auto"/>
                <w:sz w:val="21"/>
                <w:szCs w:val="21"/>
                <w:vertAlign w:val="baseline"/>
                <w:lang w:eastAsia="zh-CN"/>
              </w:rPr>
              <w:t>东面：</w:t>
            </w:r>
            <w:r>
              <w:rPr>
                <w:rFonts w:hint="eastAsia"/>
                <w:color w:val="auto"/>
                <w:sz w:val="21"/>
                <w:szCs w:val="21"/>
                <w:vertAlign w:val="baseline"/>
              </w:rPr>
              <w:t>荷城印象新家园小区</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252470" cy="2113915"/>
                  <wp:effectExtent l="0" t="0" r="4445" b="3810"/>
                  <wp:docPr id="13" name="图片 13" descr="1647244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7244093(1)"/>
                          <pic:cNvPicPr>
                            <a:picLocks noChangeAspect="1"/>
                          </pic:cNvPicPr>
                        </pic:nvPicPr>
                        <pic:blipFill>
                          <a:blip r:embed="rId22"/>
                          <a:stretch>
                            <a:fillRect/>
                          </a:stretch>
                        </pic:blipFill>
                        <pic:spPr>
                          <a:xfrm>
                            <a:off x="0" y="0"/>
                            <a:ext cx="3252470" cy="211391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576830" cy="2132965"/>
                  <wp:effectExtent l="0" t="0" r="8255" b="13970"/>
                  <wp:docPr id="12" name="图片 12" descr="d39d3cdf399962a6711958bef5e4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9d3cdf399962a6711958bef5e4e2c"/>
                          <pic:cNvPicPr>
                            <a:picLocks noChangeAspect="1"/>
                          </pic:cNvPicPr>
                        </pic:nvPicPr>
                        <pic:blipFill>
                          <a:blip r:embed="rId23"/>
                          <a:stretch>
                            <a:fillRect/>
                          </a:stretch>
                        </pic:blipFill>
                        <pic:spPr>
                          <a:xfrm>
                            <a:off x="0" y="0"/>
                            <a:ext cx="2576830" cy="2132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项目用地现状</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项目周围道路现状</w:t>
            </w:r>
          </w:p>
        </w:tc>
      </w:tr>
    </w:tbl>
    <w:p>
      <w:pPr>
        <w:rPr>
          <w:color w:val="auto"/>
        </w:rPr>
      </w:pPr>
      <w:r>
        <w:rPr>
          <w:color w:val="auto"/>
        </w:rPr>
        <w:br w:type="page"/>
      </w:r>
    </w:p>
    <w:p>
      <w:pPr>
        <w:pStyle w:val="131"/>
        <w:ind w:firstLine="480"/>
        <w:jc w:val="center"/>
        <w:rPr>
          <w:color w:val="auto"/>
        </w:rPr>
      </w:pPr>
    </w:p>
    <w:p>
      <w:pPr>
        <w:pStyle w:val="131"/>
        <w:ind w:firstLine="0" w:firstLineChars="0"/>
        <w:jc w:val="center"/>
        <w:rPr>
          <w:b/>
          <w:color w:val="auto"/>
          <w:sz w:val="44"/>
          <w:szCs w:val="44"/>
        </w:rPr>
      </w:pPr>
      <w:r>
        <w:rPr>
          <w:b/>
          <w:color w:val="auto"/>
          <w:sz w:val="44"/>
          <w:szCs w:val="44"/>
        </w:rPr>
        <w:t>目录</w:t>
      </w:r>
    </w:p>
    <w:sdt>
      <w:sdtPr>
        <w:rPr>
          <w:rFonts w:ascii="宋体" w:hAnsi="宋体" w:eastAsia="宋体" w:cstheme="minorBidi"/>
          <w:kern w:val="2"/>
          <w:sz w:val="21"/>
          <w:szCs w:val="22"/>
          <w:lang w:val="en-US" w:eastAsia="zh-CN" w:bidi="ar-SA"/>
        </w:rPr>
        <w:id w:val="147465338"/>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4" w:name="_Toc21261"/>
        </w:p>
        <w:p>
          <w:pPr>
            <w:pStyle w:val="185"/>
            <w:tabs>
              <w:tab w:val="right" w:leader="dot" w:pos="9412"/>
            </w:tabs>
          </w:pPr>
          <w:r>
            <w:fldChar w:fldCharType="begin"/>
          </w:r>
          <w:r>
            <w:instrText xml:space="preserve">TOC \o "1-1" \h \u </w:instrText>
          </w:r>
          <w:r>
            <w:fldChar w:fldCharType="separate"/>
          </w:r>
        </w:p>
        <w:p>
          <w:pPr>
            <w:pStyle w:val="185"/>
            <w:tabs>
              <w:tab w:val="right" w:leader="dot" w:pos="9412"/>
            </w:tabs>
            <w:rPr>
              <w:sz w:val="30"/>
              <w:szCs w:val="30"/>
            </w:rPr>
          </w:pPr>
          <w:r>
            <w:rPr>
              <w:sz w:val="30"/>
              <w:szCs w:val="30"/>
            </w:rPr>
            <w:fldChar w:fldCharType="begin"/>
          </w:r>
          <w:r>
            <w:rPr>
              <w:sz w:val="30"/>
              <w:szCs w:val="30"/>
            </w:rPr>
            <w:instrText xml:space="preserve"> HYPERLINK \l _Toc30403 </w:instrText>
          </w:r>
          <w:r>
            <w:rPr>
              <w:sz w:val="30"/>
              <w:szCs w:val="30"/>
            </w:rPr>
            <w:fldChar w:fldCharType="separate"/>
          </w:r>
          <w:r>
            <w:rPr>
              <w:sz w:val="30"/>
              <w:szCs w:val="30"/>
            </w:rPr>
            <w:t>一、建设项目基本情况</w:t>
          </w:r>
          <w:r>
            <w:rPr>
              <w:sz w:val="30"/>
              <w:szCs w:val="30"/>
            </w:rPr>
            <w:tab/>
          </w:r>
          <w:r>
            <w:rPr>
              <w:sz w:val="30"/>
              <w:szCs w:val="30"/>
            </w:rPr>
            <w:fldChar w:fldCharType="begin"/>
          </w:r>
          <w:r>
            <w:rPr>
              <w:sz w:val="30"/>
              <w:szCs w:val="30"/>
            </w:rPr>
            <w:instrText xml:space="preserve"> PAGEREF _Toc30403 </w:instrText>
          </w:r>
          <w:r>
            <w:rPr>
              <w:sz w:val="30"/>
              <w:szCs w:val="30"/>
            </w:rPr>
            <w:fldChar w:fldCharType="separate"/>
          </w:r>
          <w:r>
            <w:rPr>
              <w:sz w:val="30"/>
              <w:szCs w:val="30"/>
            </w:rPr>
            <w:t>1</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_Toc32392 </w:instrText>
          </w:r>
          <w:r>
            <w:rPr>
              <w:sz w:val="30"/>
              <w:szCs w:val="30"/>
            </w:rPr>
            <w:fldChar w:fldCharType="separate"/>
          </w:r>
          <w:r>
            <w:rPr>
              <w:rFonts w:hint="eastAsia"/>
              <w:sz w:val="30"/>
              <w:szCs w:val="30"/>
            </w:rPr>
            <w:t>二、建设项目工程分析</w:t>
          </w:r>
          <w:r>
            <w:rPr>
              <w:sz w:val="30"/>
              <w:szCs w:val="30"/>
            </w:rPr>
            <w:tab/>
          </w:r>
          <w:r>
            <w:rPr>
              <w:sz w:val="30"/>
              <w:szCs w:val="30"/>
            </w:rPr>
            <w:fldChar w:fldCharType="begin"/>
          </w:r>
          <w:r>
            <w:rPr>
              <w:sz w:val="30"/>
              <w:szCs w:val="30"/>
            </w:rPr>
            <w:instrText xml:space="preserve"> PAGEREF _Toc32392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_Toc4990 </w:instrText>
          </w:r>
          <w:r>
            <w:rPr>
              <w:sz w:val="30"/>
              <w:szCs w:val="30"/>
            </w:rPr>
            <w:fldChar w:fldCharType="separate"/>
          </w:r>
          <w:r>
            <w:rPr>
              <w:rFonts w:hint="eastAsia"/>
              <w:sz w:val="30"/>
              <w:szCs w:val="30"/>
            </w:rPr>
            <w:t>三、区域环境质量现状、环境保护目标及评价标准</w:t>
          </w:r>
          <w:r>
            <w:rPr>
              <w:sz w:val="30"/>
              <w:szCs w:val="30"/>
            </w:rPr>
            <w:tab/>
          </w:r>
          <w:r>
            <w:rPr>
              <w:sz w:val="30"/>
              <w:szCs w:val="30"/>
            </w:rPr>
            <w:fldChar w:fldCharType="begin"/>
          </w:r>
          <w:r>
            <w:rPr>
              <w:sz w:val="30"/>
              <w:szCs w:val="30"/>
            </w:rPr>
            <w:instrText xml:space="preserve"> PAGEREF _Toc4990 </w:instrText>
          </w:r>
          <w:r>
            <w:rPr>
              <w:sz w:val="30"/>
              <w:szCs w:val="30"/>
            </w:rPr>
            <w:fldChar w:fldCharType="separate"/>
          </w:r>
          <w:r>
            <w:rPr>
              <w:sz w:val="30"/>
              <w:szCs w:val="30"/>
            </w:rPr>
            <w:t>30</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_Toc22527 </w:instrText>
          </w:r>
          <w:r>
            <w:rPr>
              <w:sz w:val="30"/>
              <w:szCs w:val="30"/>
            </w:rPr>
            <w:fldChar w:fldCharType="separate"/>
          </w:r>
          <w:r>
            <w:rPr>
              <w:rFonts w:hint="eastAsia"/>
              <w:sz w:val="30"/>
              <w:szCs w:val="30"/>
            </w:rPr>
            <w:t>四、主要环境影响和保护措施</w:t>
          </w:r>
          <w:r>
            <w:rPr>
              <w:sz w:val="30"/>
              <w:szCs w:val="30"/>
            </w:rPr>
            <w:tab/>
          </w:r>
          <w:r>
            <w:rPr>
              <w:sz w:val="30"/>
              <w:szCs w:val="30"/>
            </w:rPr>
            <w:fldChar w:fldCharType="begin"/>
          </w:r>
          <w:r>
            <w:rPr>
              <w:sz w:val="30"/>
              <w:szCs w:val="30"/>
            </w:rPr>
            <w:instrText xml:space="preserve"> PAGEREF _Toc22527 </w:instrText>
          </w:r>
          <w:r>
            <w:rPr>
              <w:sz w:val="30"/>
              <w:szCs w:val="30"/>
            </w:rPr>
            <w:fldChar w:fldCharType="separate"/>
          </w:r>
          <w:r>
            <w:rPr>
              <w:sz w:val="30"/>
              <w:szCs w:val="30"/>
            </w:rPr>
            <w:t>35</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_Toc10178 </w:instrText>
          </w:r>
          <w:r>
            <w:rPr>
              <w:sz w:val="30"/>
              <w:szCs w:val="30"/>
            </w:rPr>
            <w:fldChar w:fldCharType="separate"/>
          </w:r>
          <w:r>
            <w:rPr>
              <w:rFonts w:hint="eastAsia"/>
              <w:sz w:val="30"/>
              <w:szCs w:val="30"/>
            </w:rPr>
            <w:t>五、环境保护措施监督检查清单</w:t>
          </w:r>
          <w:r>
            <w:rPr>
              <w:sz w:val="30"/>
              <w:szCs w:val="30"/>
            </w:rPr>
            <w:tab/>
          </w:r>
          <w:r>
            <w:rPr>
              <w:sz w:val="30"/>
              <w:szCs w:val="30"/>
            </w:rPr>
            <w:fldChar w:fldCharType="begin"/>
          </w:r>
          <w:r>
            <w:rPr>
              <w:sz w:val="30"/>
              <w:szCs w:val="30"/>
            </w:rPr>
            <w:instrText xml:space="preserve"> PAGEREF _Toc10178 </w:instrText>
          </w:r>
          <w:r>
            <w:rPr>
              <w:sz w:val="30"/>
              <w:szCs w:val="30"/>
            </w:rPr>
            <w:fldChar w:fldCharType="separate"/>
          </w:r>
          <w:r>
            <w:rPr>
              <w:sz w:val="30"/>
              <w:szCs w:val="30"/>
            </w:rPr>
            <w:t>68</w:t>
          </w:r>
          <w:r>
            <w:rPr>
              <w:sz w:val="30"/>
              <w:szCs w:val="30"/>
            </w:rPr>
            <w:fldChar w:fldCharType="end"/>
          </w:r>
          <w:r>
            <w:rPr>
              <w:sz w:val="30"/>
              <w:szCs w:val="30"/>
            </w:rPr>
            <w:fldChar w:fldCharType="end"/>
          </w:r>
        </w:p>
        <w:p>
          <w:pPr>
            <w:pStyle w:val="185"/>
            <w:tabs>
              <w:tab w:val="right" w:leader="dot" w:pos="9412"/>
            </w:tabs>
          </w:pPr>
          <w:r>
            <w:rPr>
              <w:sz w:val="30"/>
              <w:szCs w:val="30"/>
            </w:rPr>
            <w:fldChar w:fldCharType="begin"/>
          </w:r>
          <w:r>
            <w:rPr>
              <w:sz w:val="30"/>
              <w:szCs w:val="30"/>
            </w:rPr>
            <w:instrText xml:space="preserve"> HYPERLINK \l _Toc10838 </w:instrText>
          </w:r>
          <w:r>
            <w:rPr>
              <w:sz w:val="30"/>
              <w:szCs w:val="30"/>
            </w:rPr>
            <w:fldChar w:fldCharType="separate"/>
          </w:r>
          <w:r>
            <w:rPr>
              <w:rFonts w:hint="eastAsia"/>
              <w:sz w:val="30"/>
              <w:szCs w:val="30"/>
            </w:rPr>
            <w:t>六、结论</w:t>
          </w:r>
          <w:r>
            <w:rPr>
              <w:sz w:val="30"/>
              <w:szCs w:val="30"/>
            </w:rPr>
            <w:tab/>
          </w:r>
          <w:r>
            <w:rPr>
              <w:sz w:val="30"/>
              <w:szCs w:val="30"/>
            </w:rPr>
            <w:fldChar w:fldCharType="begin"/>
          </w:r>
          <w:r>
            <w:rPr>
              <w:sz w:val="30"/>
              <w:szCs w:val="30"/>
            </w:rPr>
            <w:instrText xml:space="preserve"> PAGEREF _Toc10838 </w:instrText>
          </w:r>
          <w:r>
            <w:rPr>
              <w:sz w:val="30"/>
              <w:szCs w:val="30"/>
            </w:rPr>
            <w:fldChar w:fldCharType="separate"/>
          </w:r>
          <w:r>
            <w:rPr>
              <w:sz w:val="30"/>
              <w:szCs w:val="30"/>
            </w:rPr>
            <w:t>74</w:t>
          </w:r>
          <w:r>
            <w:rPr>
              <w:sz w:val="30"/>
              <w:szCs w:val="30"/>
            </w:rPr>
            <w:fldChar w:fldCharType="end"/>
          </w:r>
          <w:r>
            <w:rPr>
              <w:sz w:val="30"/>
              <w:szCs w:val="30"/>
            </w:rPr>
            <w:fldChar w:fldCharType="end"/>
          </w:r>
        </w:p>
        <w:p>
          <w:r>
            <w:fldChar w:fldCharType="end"/>
          </w:r>
        </w:p>
      </w:sdtContent>
    </w:sdt>
    <w:p>
      <w:pPr>
        <w:pStyle w:val="131"/>
        <w:ind w:firstLine="0" w:firstLineChars="0"/>
        <w:jc w:val="left"/>
        <w:outlineLvl w:val="0"/>
        <w:rPr>
          <w:color w:val="auto"/>
          <w:szCs w:val="24"/>
        </w:rPr>
      </w:pPr>
      <w:bookmarkStart w:id="5" w:name="_Toc8776"/>
      <w:r>
        <w:rPr>
          <w:rFonts w:hint="eastAsia"/>
          <w:b/>
          <w:color w:val="auto"/>
          <w:szCs w:val="24"/>
        </w:rPr>
        <w:t>附表：</w:t>
      </w:r>
      <w:r>
        <w:rPr>
          <w:rFonts w:hint="eastAsia"/>
          <w:color w:val="auto"/>
          <w:szCs w:val="24"/>
        </w:rPr>
        <w:t>建设项目污染物排放量汇总表</w:t>
      </w:r>
      <w:bookmarkEnd w:id="4"/>
      <w:bookmarkEnd w:id="5"/>
    </w:p>
    <w:p>
      <w:pPr>
        <w:pStyle w:val="131"/>
        <w:ind w:firstLine="0" w:firstLineChars="0"/>
        <w:jc w:val="left"/>
        <w:rPr>
          <w:rFonts w:hint="eastAsia"/>
          <w:b/>
          <w:color w:val="auto"/>
          <w:kern w:val="0"/>
          <w:szCs w:val="24"/>
        </w:rPr>
      </w:pPr>
    </w:p>
    <w:p>
      <w:pPr>
        <w:pStyle w:val="131"/>
        <w:ind w:firstLine="0" w:firstLineChars="0"/>
        <w:jc w:val="both"/>
        <w:outlineLvl w:val="0"/>
        <w:rPr>
          <w:b/>
          <w:color w:val="auto"/>
          <w:kern w:val="0"/>
          <w:szCs w:val="24"/>
          <w:highlight w:val="none"/>
        </w:rPr>
      </w:pPr>
      <w:bookmarkStart w:id="6" w:name="_Toc8833"/>
      <w:bookmarkStart w:id="7" w:name="_Toc16620"/>
      <w:bookmarkStart w:id="8" w:name="_Toc2784"/>
      <w:r>
        <w:rPr>
          <w:rFonts w:hint="eastAsia"/>
          <w:b/>
          <w:color w:val="auto"/>
          <w:kern w:val="0"/>
          <w:szCs w:val="24"/>
          <w:highlight w:val="none"/>
        </w:rPr>
        <w:t>附件</w:t>
      </w:r>
      <w:bookmarkEnd w:id="6"/>
      <w:bookmarkEnd w:id="7"/>
      <w:bookmarkEnd w:id="8"/>
    </w:p>
    <w:p>
      <w:pPr>
        <w:ind w:firstLine="480"/>
        <w:outlineLvl w:val="0"/>
        <w:rPr>
          <w:color w:val="auto"/>
        </w:rPr>
      </w:pPr>
      <w:bookmarkStart w:id="9" w:name="_Toc3600"/>
      <w:bookmarkStart w:id="10" w:name="_Toc4807"/>
      <w:bookmarkStart w:id="11" w:name="_Toc22488"/>
      <w:r>
        <w:rPr>
          <w:rFonts w:hint="eastAsia"/>
          <w:color w:val="auto"/>
        </w:rPr>
        <w:t>附件1：委托书；</w:t>
      </w:r>
      <w:bookmarkEnd w:id="9"/>
      <w:bookmarkEnd w:id="10"/>
      <w:bookmarkEnd w:id="11"/>
    </w:p>
    <w:p>
      <w:pPr>
        <w:ind w:firstLine="480"/>
        <w:outlineLvl w:val="0"/>
        <w:rPr>
          <w:color w:val="auto"/>
        </w:rPr>
      </w:pPr>
      <w:bookmarkStart w:id="12" w:name="_Toc27614"/>
      <w:bookmarkStart w:id="13" w:name="_Toc10669"/>
      <w:bookmarkStart w:id="14" w:name="_Toc25735"/>
      <w:r>
        <w:rPr>
          <w:rFonts w:hint="eastAsia"/>
          <w:color w:val="auto"/>
        </w:rPr>
        <w:t>附件2：事业单位法人证书；</w:t>
      </w:r>
      <w:bookmarkEnd w:id="12"/>
      <w:bookmarkEnd w:id="13"/>
      <w:bookmarkEnd w:id="14"/>
    </w:p>
    <w:p>
      <w:pPr>
        <w:ind w:firstLine="480"/>
        <w:outlineLvl w:val="0"/>
        <w:rPr>
          <w:rFonts w:hint="eastAsia"/>
          <w:color w:val="auto"/>
          <w:lang w:val="en-US" w:eastAsia="zh-CN"/>
        </w:rPr>
      </w:pPr>
      <w:bookmarkStart w:id="15" w:name="_Toc2005"/>
      <w:bookmarkStart w:id="16" w:name="_Toc1939"/>
      <w:bookmarkStart w:id="17" w:name="_Toc15426"/>
      <w:r>
        <w:rPr>
          <w:rFonts w:hint="eastAsia"/>
          <w:color w:val="auto"/>
        </w:rPr>
        <w:t>附件3：</w:t>
      </w:r>
      <w:r>
        <w:rPr>
          <w:rFonts w:hint="eastAsia"/>
          <w:color w:val="auto"/>
          <w:lang w:val="en-US" w:eastAsia="zh-CN"/>
        </w:rPr>
        <w:t>医疗执业许可证；</w:t>
      </w:r>
      <w:bookmarkEnd w:id="15"/>
      <w:bookmarkEnd w:id="16"/>
      <w:bookmarkEnd w:id="17"/>
    </w:p>
    <w:p>
      <w:pPr>
        <w:ind w:firstLine="480"/>
        <w:outlineLvl w:val="0"/>
        <w:rPr>
          <w:rFonts w:hint="eastAsia"/>
          <w:color w:val="auto"/>
          <w:lang w:val="en-US" w:eastAsia="zh-CN"/>
        </w:rPr>
      </w:pPr>
      <w:bookmarkStart w:id="18" w:name="_Toc29214"/>
      <w:bookmarkStart w:id="19" w:name="_Toc18108"/>
      <w:bookmarkStart w:id="20" w:name="_Toc14040"/>
      <w:r>
        <w:rPr>
          <w:rFonts w:hint="eastAsia"/>
          <w:color w:val="auto"/>
          <w:lang w:val="en-US" w:eastAsia="zh-CN"/>
        </w:rPr>
        <w:t>附件4：妇婴医院项目用地预审意见；</w:t>
      </w:r>
      <w:bookmarkEnd w:id="18"/>
      <w:bookmarkEnd w:id="19"/>
      <w:bookmarkEnd w:id="20"/>
    </w:p>
    <w:p>
      <w:pPr>
        <w:ind w:firstLine="480"/>
        <w:outlineLvl w:val="0"/>
        <w:rPr>
          <w:rFonts w:hint="eastAsia"/>
          <w:color w:val="auto"/>
          <w:lang w:val="en-US" w:eastAsia="zh-CN"/>
        </w:rPr>
      </w:pPr>
      <w:bookmarkStart w:id="21" w:name="_Toc28178"/>
      <w:bookmarkStart w:id="22" w:name="_Toc16391"/>
      <w:bookmarkStart w:id="23" w:name="_Toc31960"/>
      <w:r>
        <w:rPr>
          <w:rFonts w:hint="eastAsia"/>
          <w:color w:val="auto"/>
          <w:lang w:val="en-US" w:eastAsia="zh-CN"/>
        </w:rPr>
        <w:t>附件5：保健院妇婴医院住院综合楼建设项目许可证；</w:t>
      </w:r>
      <w:bookmarkEnd w:id="21"/>
      <w:bookmarkEnd w:id="22"/>
      <w:bookmarkEnd w:id="23"/>
    </w:p>
    <w:p>
      <w:pPr>
        <w:ind w:firstLine="480"/>
        <w:outlineLvl w:val="0"/>
        <w:rPr>
          <w:rFonts w:hint="eastAsia"/>
          <w:color w:val="auto"/>
          <w:lang w:val="en-US" w:eastAsia="zh-CN"/>
        </w:rPr>
      </w:pPr>
      <w:bookmarkStart w:id="24" w:name="_Toc16490"/>
      <w:bookmarkStart w:id="25" w:name="_Toc18879"/>
      <w:bookmarkStart w:id="26" w:name="_Toc25487"/>
      <w:r>
        <w:rPr>
          <w:rFonts w:hint="eastAsia"/>
          <w:color w:val="auto"/>
          <w:lang w:val="en-US" w:eastAsia="zh-CN"/>
        </w:rPr>
        <w:t>附件6：姚安县保健院妇婴医院住院综合楼建设项可研批复</w:t>
      </w:r>
      <w:bookmarkEnd w:id="24"/>
      <w:bookmarkEnd w:id="25"/>
      <w:bookmarkEnd w:id="26"/>
      <w:r>
        <w:rPr>
          <w:rFonts w:hint="eastAsia"/>
          <w:color w:val="auto"/>
          <w:lang w:val="en-US" w:eastAsia="zh-CN"/>
        </w:rPr>
        <w:t>；</w:t>
      </w:r>
    </w:p>
    <w:p>
      <w:pPr>
        <w:ind w:firstLine="480"/>
        <w:outlineLvl w:val="0"/>
        <w:rPr>
          <w:rFonts w:hint="default"/>
          <w:color w:val="auto"/>
          <w:lang w:val="en-US" w:eastAsia="zh-CN"/>
        </w:rPr>
      </w:pPr>
      <w:r>
        <w:rPr>
          <w:rFonts w:hint="eastAsia"/>
          <w:color w:val="auto"/>
          <w:lang w:val="en-US" w:eastAsia="zh-CN"/>
        </w:rPr>
        <w:t>附件7：监测报告。</w:t>
      </w:r>
    </w:p>
    <w:p>
      <w:pPr>
        <w:ind w:firstLine="0" w:firstLineChars="0"/>
        <w:rPr>
          <w:rFonts w:hint="eastAsia"/>
          <w:b/>
          <w:color w:val="auto"/>
          <w:szCs w:val="24"/>
        </w:rPr>
      </w:pPr>
    </w:p>
    <w:p>
      <w:pPr>
        <w:ind w:firstLine="0" w:firstLineChars="0"/>
        <w:rPr>
          <w:b/>
          <w:color w:val="auto"/>
          <w:szCs w:val="24"/>
        </w:rPr>
      </w:pPr>
      <w:r>
        <w:rPr>
          <w:rFonts w:hint="eastAsia"/>
          <w:b/>
          <w:color w:val="auto"/>
          <w:szCs w:val="24"/>
        </w:rPr>
        <w:t>附图</w:t>
      </w:r>
    </w:p>
    <w:p>
      <w:pPr>
        <w:ind w:firstLine="480"/>
        <w:outlineLvl w:val="0"/>
        <w:rPr>
          <w:color w:val="auto"/>
          <w:szCs w:val="24"/>
        </w:rPr>
      </w:pPr>
      <w:bookmarkStart w:id="27" w:name="_Toc16702"/>
      <w:bookmarkStart w:id="28" w:name="_Toc17660"/>
      <w:bookmarkStart w:id="29" w:name="_Toc7895"/>
      <w:r>
        <w:rPr>
          <w:rFonts w:hint="eastAsia"/>
          <w:color w:val="auto"/>
          <w:szCs w:val="24"/>
        </w:rPr>
        <w:t>附图1：项目地理位置图；</w:t>
      </w:r>
      <w:bookmarkEnd w:id="27"/>
      <w:bookmarkEnd w:id="28"/>
      <w:bookmarkEnd w:id="29"/>
    </w:p>
    <w:p>
      <w:pPr>
        <w:ind w:firstLine="480"/>
        <w:outlineLvl w:val="0"/>
        <w:rPr>
          <w:color w:val="auto"/>
          <w:szCs w:val="24"/>
        </w:rPr>
      </w:pPr>
      <w:bookmarkStart w:id="30" w:name="_Toc20768"/>
      <w:bookmarkStart w:id="31" w:name="_Toc16175"/>
      <w:bookmarkStart w:id="32" w:name="_Toc12682"/>
      <w:r>
        <w:rPr>
          <w:rFonts w:hint="eastAsia"/>
          <w:color w:val="auto"/>
          <w:szCs w:val="24"/>
        </w:rPr>
        <w:t>附图2：项目周边</w:t>
      </w:r>
      <w:r>
        <w:rPr>
          <w:rFonts w:hint="eastAsia"/>
          <w:color w:val="auto"/>
          <w:szCs w:val="24"/>
          <w:lang w:eastAsia="zh-CN"/>
        </w:rPr>
        <w:t>环境</w:t>
      </w:r>
      <w:r>
        <w:rPr>
          <w:rFonts w:hint="eastAsia"/>
          <w:color w:val="auto"/>
          <w:szCs w:val="24"/>
        </w:rPr>
        <w:t>示意图；</w:t>
      </w:r>
      <w:bookmarkEnd w:id="30"/>
      <w:bookmarkEnd w:id="31"/>
      <w:bookmarkEnd w:id="32"/>
    </w:p>
    <w:p>
      <w:pPr>
        <w:ind w:firstLine="480"/>
        <w:outlineLvl w:val="0"/>
        <w:rPr>
          <w:color w:val="auto"/>
          <w:szCs w:val="24"/>
        </w:rPr>
      </w:pPr>
      <w:bookmarkStart w:id="33" w:name="_Toc6845"/>
      <w:bookmarkStart w:id="34" w:name="_Toc19471"/>
      <w:bookmarkStart w:id="35" w:name="_Toc22279"/>
      <w:r>
        <w:rPr>
          <w:rFonts w:hint="eastAsia"/>
          <w:color w:val="auto"/>
          <w:szCs w:val="24"/>
        </w:rPr>
        <w:t>附图3：项目总平面布置图；</w:t>
      </w:r>
      <w:bookmarkEnd w:id="33"/>
      <w:bookmarkEnd w:id="34"/>
      <w:bookmarkEnd w:id="35"/>
    </w:p>
    <w:p>
      <w:pPr>
        <w:ind w:firstLine="480"/>
        <w:outlineLvl w:val="0"/>
        <w:rPr>
          <w:rFonts w:hint="eastAsia" w:eastAsiaTheme="minorEastAsia"/>
          <w:color w:val="auto"/>
          <w:szCs w:val="24"/>
          <w:lang w:eastAsia="zh-CN"/>
        </w:rPr>
      </w:pPr>
      <w:bookmarkStart w:id="36" w:name="_Toc18430"/>
      <w:bookmarkStart w:id="37" w:name="_Toc13696"/>
      <w:bookmarkStart w:id="38" w:name="_Toc28231"/>
      <w:r>
        <w:rPr>
          <w:rFonts w:hint="eastAsia"/>
          <w:color w:val="auto"/>
          <w:szCs w:val="24"/>
        </w:rPr>
        <w:t>附图4：项目区水系图</w:t>
      </w:r>
      <w:bookmarkEnd w:id="36"/>
      <w:r>
        <w:rPr>
          <w:rFonts w:hint="eastAsia"/>
          <w:color w:val="auto"/>
          <w:szCs w:val="24"/>
          <w:lang w:eastAsia="zh-CN"/>
        </w:rPr>
        <w:t>；</w:t>
      </w:r>
      <w:bookmarkEnd w:id="37"/>
      <w:bookmarkEnd w:id="38"/>
    </w:p>
    <w:p>
      <w:pPr>
        <w:ind w:firstLine="480"/>
        <w:outlineLvl w:val="0"/>
        <w:rPr>
          <w:rFonts w:hint="default" w:eastAsiaTheme="minorEastAsia"/>
          <w:color w:val="auto"/>
          <w:szCs w:val="24"/>
          <w:lang w:val="en-US" w:eastAsia="zh-CN"/>
        </w:rPr>
      </w:pPr>
      <w:bookmarkStart w:id="39" w:name="_Toc31058"/>
      <w:bookmarkStart w:id="40" w:name="_Toc22087"/>
      <w:r>
        <w:rPr>
          <w:rFonts w:hint="eastAsia"/>
          <w:color w:val="auto"/>
          <w:szCs w:val="24"/>
          <w:lang w:val="en-US" w:eastAsia="zh-CN"/>
        </w:rPr>
        <w:t>附图5：地下一层平面布置图。</w:t>
      </w:r>
      <w:bookmarkEnd w:id="39"/>
      <w:bookmarkEnd w:id="40"/>
    </w:p>
    <w:p>
      <w:pPr>
        <w:ind w:firstLine="199" w:firstLineChars="83"/>
        <w:rPr>
          <w:rFonts w:cs="Times New Roman" w:asciiTheme="minorEastAsia" w:hAnsiTheme="minorEastAsia"/>
          <w:color w:val="auto"/>
          <w:szCs w:val="20"/>
        </w:rPr>
        <w:sectPr>
          <w:headerReference r:id="rId11" w:type="default"/>
          <w:footerReference r:id="rId12" w:type="default"/>
          <w:pgSz w:w="11906" w:h="16838"/>
          <w:pgMar w:top="1361" w:right="1247" w:bottom="1361" w:left="1247" w:header="992" w:footer="833"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4"/>
        <w:rPr>
          <w:color w:val="auto"/>
        </w:rPr>
      </w:pPr>
      <w:bookmarkStart w:id="41" w:name="_Toc376855812"/>
      <w:bookmarkStart w:id="42" w:name="_Toc30403"/>
      <w:bookmarkStart w:id="43" w:name="_Toc68101065"/>
      <w:bookmarkStart w:id="44" w:name="_Toc458883638"/>
      <w:r>
        <w:rPr>
          <w:color w:val="auto"/>
        </w:rPr>
        <w:t>一、建设项目基本情况</w:t>
      </w:r>
      <w:bookmarkEnd w:id="41"/>
      <w:bookmarkEnd w:id="42"/>
      <w:bookmarkEnd w:id="43"/>
      <w:bookmarkEnd w:id="44"/>
    </w:p>
    <w:tbl>
      <w:tblPr>
        <w:tblStyle w:val="37"/>
        <w:tblW w:w="9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9"/>
        <w:gridCol w:w="1936"/>
        <w:gridCol w:w="847"/>
        <w:gridCol w:w="1279"/>
        <w:gridCol w:w="670"/>
        <w:gridCol w:w="2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项目名称</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lang w:eastAsia="zh-CN"/>
              </w:rPr>
              <w:t>姚安县保健院妇婴医院住院综合楼建设项目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项目代码</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0"/>
              </w:rPr>
            </w:pPr>
            <w:r>
              <w:rPr>
                <w:rFonts w:hint="default" w:ascii="Times New Roman" w:hAnsi="Times New Roman" w:cs="Times New Roman"/>
                <w:color w:val="auto"/>
                <w:spacing w:val="0"/>
                <w:kern w:val="2"/>
                <w:szCs w:val="20"/>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建设单位联系人</w:t>
            </w:r>
          </w:p>
        </w:tc>
        <w:tc>
          <w:tcPr>
            <w:tcW w:w="2783" w:type="dxa"/>
            <w:gridSpan w:val="2"/>
            <w:vAlign w:val="center"/>
          </w:tcPr>
          <w:p>
            <w:pPr>
              <w:spacing w:line="360" w:lineRule="auto"/>
              <w:ind w:firstLine="0" w:firstLineChars="0"/>
              <w:jc w:val="center"/>
              <w:rPr>
                <w:rFonts w:hint="default" w:ascii="Times New Roman" w:hAnsi="Times New Roman" w:cs="Times New Roman" w:eastAsiaTheme="minorEastAsia"/>
                <w:color w:val="auto"/>
                <w:spacing w:val="0"/>
                <w:kern w:val="2"/>
                <w:szCs w:val="24"/>
                <w:lang w:eastAsia="zh-CN"/>
              </w:rPr>
            </w:pPr>
            <w:r>
              <w:rPr>
                <w:rFonts w:hint="default" w:ascii="Times New Roman" w:hAnsi="Times New Roman" w:cs="Times New Roman"/>
                <w:color w:val="auto"/>
                <w:spacing w:val="0"/>
                <w:kern w:val="2"/>
                <w:szCs w:val="24"/>
                <w:lang w:val="en-US" w:eastAsia="zh-CN"/>
              </w:rPr>
              <w:t>魏宏</w:t>
            </w:r>
          </w:p>
        </w:tc>
        <w:tc>
          <w:tcPr>
            <w:tcW w:w="1949"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联系方式</w:t>
            </w:r>
          </w:p>
        </w:tc>
        <w:tc>
          <w:tcPr>
            <w:tcW w:w="2559" w:type="dxa"/>
            <w:vAlign w:val="center"/>
          </w:tcPr>
          <w:p>
            <w:pPr>
              <w:spacing w:line="360" w:lineRule="auto"/>
              <w:ind w:firstLine="0" w:firstLineChars="0"/>
              <w:jc w:val="center"/>
              <w:rPr>
                <w:rFonts w:hint="default" w:ascii="Times New Roman" w:hAnsi="Times New Roman" w:cs="Times New Roman" w:eastAsiaTheme="minorEastAsia"/>
                <w:color w:val="auto"/>
                <w:spacing w:val="0"/>
                <w:kern w:val="2"/>
                <w:szCs w:val="24"/>
                <w:lang w:val="en-US" w:eastAsia="zh-CN"/>
              </w:rPr>
            </w:pPr>
            <w:r>
              <w:rPr>
                <w:rFonts w:hint="default" w:ascii="Times New Roman" w:hAnsi="Times New Roman" w:cs="Times New Roman"/>
                <w:color w:val="auto"/>
                <w:spacing w:val="0"/>
                <w:kern w:val="2"/>
                <w:szCs w:val="24"/>
                <w:lang w:val="en-US" w:eastAsia="zh-CN"/>
              </w:rPr>
              <w:t>15987241146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建设地点</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1"/>
                <w:u w:val="single"/>
              </w:rPr>
              <w:t xml:space="preserve">云南 </w:t>
            </w:r>
            <w:r>
              <w:rPr>
                <w:rFonts w:hint="default" w:ascii="Times New Roman" w:hAnsi="Times New Roman" w:cs="Times New Roman"/>
                <w:color w:val="auto"/>
                <w:spacing w:val="0"/>
                <w:kern w:val="2"/>
                <w:szCs w:val="21"/>
              </w:rPr>
              <w:t>省</w:t>
            </w:r>
            <w:r>
              <w:rPr>
                <w:rFonts w:hint="default" w:ascii="Times New Roman" w:hAnsi="Times New Roman" w:cs="Times New Roman"/>
                <w:color w:val="auto"/>
                <w:spacing w:val="0"/>
                <w:kern w:val="2"/>
                <w:szCs w:val="21"/>
                <w:u w:val="single"/>
              </w:rPr>
              <w:t xml:space="preserve"> 楚雄 </w:t>
            </w:r>
            <w:r>
              <w:rPr>
                <w:rFonts w:hint="default" w:ascii="Times New Roman" w:hAnsi="Times New Roman" w:cs="Times New Roman"/>
                <w:color w:val="auto"/>
                <w:spacing w:val="0"/>
                <w:kern w:val="2"/>
                <w:szCs w:val="21"/>
              </w:rPr>
              <w:t>州</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姚安</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县</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栋川</w:t>
            </w:r>
            <w:r>
              <w:rPr>
                <w:rFonts w:hint="default" w:ascii="Times New Roman" w:hAnsi="Times New Roman" w:cs="Times New Roman"/>
                <w:color w:val="auto"/>
                <w:spacing w:val="0"/>
                <w:kern w:val="2"/>
                <w:szCs w:val="21"/>
              </w:rPr>
              <w:t>镇</w:t>
            </w:r>
            <w:r>
              <w:rPr>
                <w:rFonts w:hint="default" w:ascii="Times New Roman" w:hAnsi="Times New Roman" w:cs="Times New Roman"/>
                <w:color w:val="auto"/>
                <w:spacing w:val="0"/>
                <w:kern w:val="2"/>
                <w:szCs w:val="21"/>
                <w:u w:val="single"/>
                <w:lang w:val="en-US" w:eastAsia="zh-CN"/>
              </w:rPr>
              <w:t>下栖霞路与</w:t>
            </w:r>
            <w:r>
              <w:rPr>
                <w:rFonts w:hint="eastAsia" w:cs="Times New Roman"/>
                <w:color w:val="auto"/>
                <w:spacing w:val="0"/>
                <w:kern w:val="2"/>
                <w:szCs w:val="21"/>
                <w:u w:val="single"/>
                <w:lang w:val="en-US" w:eastAsia="zh-CN"/>
              </w:rPr>
              <w:t>春晖路</w:t>
            </w:r>
            <w:r>
              <w:rPr>
                <w:rFonts w:hint="default" w:ascii="Times New Roman" w:hAnsi="Times New Roman" w:cs="Times New Roman"/>
                <w:color w:val="auto"/>
                <w:spacing w:val="0"/>
                <w:kern w:val="2"/>
                <w:szCs w:val="21"/>
                <w:u w:val="single"/>
                <w:lang w:val="en-US" w:eastAsia="zh-CN"/>
              </w:rPr>
              <w:t>交汇口西处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地理坐标</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1"/>
                <w:u w:val="single"/>
              </w:rPr>
            </w:pPr>
            <w:r>
              <w:rPr>
                <w:rFonts w:hint="default" w:ascii="Times New Roman" w:hAnsi="Times New Roman" w:cs="Times New Roman"/>
                <w:color w:val="auto"/>
                <w:spacing w:val="0"/>
                <w:kern w:val="2"/>
                <w:szCs w:val="21"/>
              </w:rPr>
              <w:t>（</w:t>
            </w:r>
            <w:r>
              <w:rPr>
                <w:rFonts w:hint="default" w:ascii="Times New Roman" w:hAnsi="Times New Roman" w:cs="Times New Roman"/>
                <w:color w:val="auto"/>
                <w:spacing w:val="0"/>
                <w:kern w:val="2"/>
                <w:szCs w:val="21"/>
                <w:u w:val="single"/>
              </w:rPr>
              <w:t xml:space="preserve"> 101 </w:t>
            </w:r>
            <w:r>
              <w:rPr>
                <w:rFonts w:hint="default" w:ascii="Times New Roman" w:hAnsi="Times New Roman" w:cs="Times New Roman"/>
                <w:color w:val="auto"/>
                <w:spacing w:val="0"/>
                <w:kern w:val="2"/>
                <w:szCs w:val="21"/>
              </w:rPr>
              <w:t>度</w:t>
            </w:r>
            <w:r>
              <w:rPr>
                <w:rFonts w:hint="default" w:ascii="Times New Roman" w:hAnsi="Times New Roman" w:cs="Times New Roman"/>
                <w:color w:val="auto"/>
                <w:spacing w:val="0"/>
                <w:kern w:val="2"/>
                <w:szCs w:val="21"/>
                <w:u w:val="single"/>
              </w:rPr>
              <w:t xml:space="preserve"> 1</w:t>
            </w:r>
            <w:r>
              <w:rPr>
                <w:rFonts w:hint="default" w:ascii="Times New Roman" w:hAnsi="Times New Roman" w:cs="Times New Roman"/>
                <w:color w:val="auto"/>
                <w:spacing w:val="0"/>
                <w:kern w:val="2"/>
                <w:szCs w:val="21"/>
                <w:u w:val="single"/>
                <w:lang w:val="en-US" w:eastAsia="zh-CN"/>
              </w:rPr>
              <w:t>3</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分</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43.748</w:t>
            </w:r>
            <w:r>
              <w:rPr>
                <w:rFonts w:hint="default" w:ascii="Times New Roman" w:hAnsi="Times New Roman" w:cs="Times New Roman"/>
                <w:color w:val="auto"/>
                <w:spacing w:val="0"/>
                <w:kern w:val="2"/>
                <w:szCs w:val="21"/>
              </w:rPr>
              <w:t>秒，</w:t>
            </w:r>
            <w:r>
              <w:rPr>
                <w:rFonts w:hint="default" w:ascii="Times New Roman" w:hAnsi="Times New Roman" w:cs="Times New Roman"/>
                <w:color w:val="auto"/>
                <w:spacing w:val="0"/>
                <w:kern w:val="2"/>
                <w:szCs w:val="21"/>
                <w:u w:val="single"/>
              </w:rPr>
              <w:t xml:space="preserve"> 25 </w:t>
            </w:r>
            <w:r>
              <w:rPr>
                <w:rFonts w:hint="default" w:ascii="Times New Roman" w:hAnsi="Times New Roman" w:cs="Times New Roman"/>
                <w:color w:val="auto"/>
                <w:spacing w:val="0"/>
                <w:kern w:val="2"/>
                <w:szCs w:val="21"/>
              </w:rPr>
              <w:t>度</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30</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分</w:t>
            </w:r>
            <w:r>
              <w:rPr>
                <w:rFonts w:hint="default" w:ascii="Times New Roman" w:hAnsi="Times New Roman" w:cs="Times New Roman"/>
                <w:color w:val="auto"/>
                <w:spacing w:val="0"/>
                <w:kern w:val="2"/>
                <w:szCs w:val="21"/>
                <w:u w:val="single"/>
                <w:lang w:val="en-US" w:eastAsia="zh-CN"/>
              </w:rPr>
              <w:t>34.174</w:t>
            </w:r>
            <w:r>
              <w:rPr>
                <w:rFonts w:hint="default" w:ascii="Times New Roman" w:hAnsi="Times New Roman" w:cs="Times New Roman"/>
                <w:color w:val="auto"/>
                <w:spacing w:val="0"/>
                <w:kern w:val="2"/>
                <w:szCs w:val="21"/>
              </w:rPr>
              <w:t>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国民经济</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行业类别</w:t>
            </w:r>
          </w:p>
        </w:tc>
        <w:tc>
          <w:tcPr>
            <w:tcW w:w="1936" w:type="dxa"/>
            <w:vAlign w:val="center"/>
          </w:tcPr>
          <w:p>
            <w:pPr>
              <w:spacing w:line="360" w:lineRule="auto"/>
              <w:ind w:firstLine="0" w:firstLineChars="0"/>
              <w:jc w:val="both"/>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highlight w:val="none"/>
                <w:lang w:val="en-US" w:eastAsia="zh-CN"/>
              </w:rPr>
              <w:t>妇幼保健院（所、站）</w:t>
            </w:r>
            <w:r>
              <w:rPr>
                <w:rFonts w:hint="default" w:ascii="Times New Roman" w:hAnsi="Times New Roman" w:cs="Times New Roman"/>
                <w:color w:val="auto"/>
                <w:spacing w:val="0"/>
                <w:kern w:val="2"/>
                <w:szCs w:val="24"/>
                <w:highlight w:val="none"/>
              </w:rPr>
              <w:t>（Q84</w:t>
            </w:r>
            <w:r>
              <w:rPr>
                <w:rFonts w:hint="default" w:ascii="Times New Roman" w:hAnsi="Times New Roman" w:cs="Times New Roman"/>
                <w:color w:val="auto"/>
                <w:spacing w:val="0"/>
                <w:kern w:val="2"/>
                <w:szCs w:val="24"/>
                <w:highlight w:val="none"/>
                <w:lang w:val="en-US" w:eastAsia="zh-CN"/>
              </w:rPr>
              <w:t>33</w:t>
            </w:r>
            <w:r>
              <w:rPr>
                <w:rFonts w:hint="default" w:ascii="Times New Roman" w:hAnsi="Times New Roman" w:cs="Times New Roman"/>
                <w:color w:val="auto"/>
                <w:spacing w:val="0"/>
                <w:kern w:val="2"/>
                <w:szCs w:val="24"/>
                <w:highlight w:val="none"/>
              </w:rPr>
              <w:t>）</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建设项目</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行业类别</w:t>
            </w:r>
          </w:p>
        </w:tc>
        <w:tc>
          <w:tcPr>
            <w:tcW w:w="3229" w:type="dxa"/>
            <w:gridSpan w:val="2"/>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highlight w:val="none"/>
              </w:rPr>
              <w:t>第四十九项“卫生”第108条“</w:t>
            </w:r>
            <w:r>
              <w:rPr>
                <w:rFonts w:hint="default" w:ascii="Times New Roman" w:hAnsi="Times New Roman" w:cs="Times New Roman"/>
                <w:color w:val="auto"/>
                <w:spacing w:val="0"/>
                <w:kern w:val="2"/>
                <w:sz w:val="24"/>
                <w:szCs w:val="24"/>
                <w:highlight w:val="none"/>
                <w:lang w:val="en-US" w:eastAsia="zh-CN"/>
              </w:rPr>
              <w:t>妇幼保健院（所、站）</w:t>
            </w:r>
            <w:r>
              <w:rPr>
                <w:rFonts w:hint="default" w:ascii="Times New Roman" w:hAnsi="Times New Roman" w:cs="Times New Roman"/>
                <w:color w:val="auto"/>
                <w:spacing w:val="0"/>
                <w:kern w:val="2"/>
                <w:sz w:val="24"/>
                <w:szCs w:val="24"/>
                <w:highlight w:val="none"/>
              </w:rPr>
              <w:t>”中的“其他（住院床位20张以下的除外）”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建设性质</w:t>
            </w:r>
          </w:p>
        </w:tc>
        <w:tc>
          <w:tcPr>
            <w:tcW w:w="1936" w:type="dxa"/>
            <w:vAlign w:val="center"/>
          </w:tcPr>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F052"/>
            </w:r>
            <w:r>
              <w:rPr>
                <w:rFonts w:hint="default" w:ascii="Times New Roman" w:hAnsi="Times New Roman" w:cs="Times New Roman"/>
                <w:color w:val="auto"/>
                <w:spacing w:val="0"/>
                <w:kern w:val="2"/>
                <w:szCs w:val="24"/>
              </w:rPr>
              <w:t>新建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□改建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□扩建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□技术改造</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建设项目</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申报情形</w:t>
            </w:r>
          </w:p>
        </w:tc>
        <w:tc>
          <w:tcPr>
            <w:tcW w:w="3229" w:type="dxa"/>
            <w:gridSpan w:val="2"/>
            <w:vAlign w:val="center"/>
          </w:tcPr>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sym w:font="Wingdings 2" w:char="F052"/>
            </w:r>
            <w:r>
              <w:rPr>
                <w:rFonts w:hint="default" w:ascii="Times New Roman" w:hAnsi="Times New Roman" w:eastAsia="宋体" w:cs="Times New Roman"/>
                <w:color w:val="auto"/>
                <w:spacing w:val="0"/>
                <w:kern w:val="2"/>
              </w:rPr>
              <w:t>首次申报项目</w:t>
            </w:r>
          </w:p>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t>□不予批准后再次申报项目</w:t>
            </w:r>
          </w:p>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cs="Times New Roman"/>
                <w:color w:val="auto"/>
                <w:spacing w:val="0"/>
                <w:kern w:val="2"/>
                <w:szCs w:val="24"/>
              </w:rPr>
              <w:t>□</w:t>
            </w:r>
            <w:r>
              <w:rPr>
                <w:rFonts w:hint="default" w:ascii="Times New Roman" w:hAnsi="Times New Roman" w:eastAsia="宋体" w:cs="Times New Roman"/>
                <w:color w:val="auto"/>
                <w:spacing w:val="0"/>
                <w:kern w:val="2"/>
              </w:rPr>
              <w:t>超五年重新审核项目</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eastAsia="宋体" w:cs="Times New Roman"/>
                <w:color w:val="auto"/>
                <w:spacing w:val="0"/>
                <w:kern w:val="2"/>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项目审批（核准/备案）部门（选填）</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Cs w:val="24"/>
                <w:lang w:val="en-US" w:eastAsia="zh-CN"/>
              </w:rPr>
            </w:pPr>
            <w:r>
              <w:rPr>
                <w:rFonts w:hint="default" w:ascii="Times New Roman" w:hAnsi="Times New Roman" w:cs="Times New Roman"/>
                <w:color w:val="auto"/>
                <w:spacing w:val="0"/>
                <w:kern w:val="2"/>
                <w:szCs w:val="24"/>
                <w:lang w:val="en-US" w:eastAsia="zh-CN"/>
              </w:rPr>
              <w:t>姚安县发展和改革局</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项目审批（核准/</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备案）文号（选填）</w:t>
            </w:r>
          </w:p>
        </w:tc>
        <w:tc>
          <w:tcPr>
            <w:tcW w:w="3229" w:type="dxa"/>
            <w:gridSpan w:val="2"/>
            <w:vAlign w:val="center"/>
          </w:tcPr>
          <w:p>
            <w:pPr>
              <w:spacing w:line="360" w:lineRule="auto"/>
              <w:ind w:firstLine="0" w:firstLineChars="0"/>
              <w:jc w:val="center"/>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t>姚发改〔2020〕</w:t>
            </w:r>
            <w:r>
              <w:rPr>
                <w:rFonts w:hint="default" w:ascii="Times New Roman" w:hAnsi="Times New Roman" w:eastAsia="宋体" w:cs="Times New Roman"/>
                <w:color w:val="auto"/>
                <w:spacing w:val="0"/>
                <w:kern w:val="2"/>
                <w:lang w:val="en-US" w:eastAsia="zh-CN"/>
              </w:rPr>
              <w:t>13</w:t>
            </w:r>
            <w:r>
              <w:rPr>
                <w:rFonts w:hint="eastAsia" w:eastAsia="宋体" w:cs="Times New Roman"/>
                <w:color w:val="auto"/>
                <w:spacing w:val="0"/>
                <w:kern w:val="2"/>
                <w:lang w:val="en-US" w:eastAsia="zh-CN"/>
              </w:rPr>
              <w:t>6</w:t>
            </w:r>
            <w:r>
              <w:rPr>
                <w:rFonts w:hint="default" w:ascii="Times New Roman" w:hAnsi="Times New Roman" w:eastAsia="宋体" w:cs="Times New Roman"/>
                <w:color w:val="auto"/>
                <w:spacing w:val="0"/>
                <w:kern w:val="2"/>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总投资(万元)</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color w:val="auto"/>
                <w:spacing w:val="0"/>
                <w:kern w:val="2"/>
                <w:lang w:val="en-US"/>
              </w:rPr>
            </w:pPr>
            <w:r>
              <w:rPr>
                <w:rFonts w:hint="default" w:ascii="Times New Roman" w:hAnsi="Times New Roman" w:cs="Times New Roman"/>
                <w:color w:val="auto"/>
                <w:spacing w:val="0"/>
                <w:kern w:val="2"/>
                <w:lang w:val="en-US" w:eastAsia="zh-CN"/>
              </w:rPr>
              <w:t>20500</w:t>
            </w:r>
          </w:p>
        </w:tc>
        <w:tc>
          <w:tcPr>
            <w:tcW w:w="2126" w:type="dxa"/>
            <w:gridSpan w:val="2"/>
            <w:vAlign w:val="center"/>
          </w:tcPr>
          <w:p>
            <w:pPr>
              <w:spacing w:line="360" w:lineRule="auto"/>
              <w:ind w:firstLine="0" w:firstLineChars="0"/>
              <w:rPr>
                <w:rFonts w:hint="default" w:ascii="Times New Roman" w:hAnsi="Times New Roman" w:cs="Times New Roman"/>
                <w:b/>
                <w:color w:val="auto"/>
                <w:spacing w:val="0"/>
                <w:kern w:val="2"/>
                <w:highlight w:val="none"/>
              </w:rPr>
            </w:pPr>
            <w:r>
              <w:rPr>
                <w:rFonts w:hint="default" w:ascii="Times New Roman" w:hAnsi="Times New Roman" w:cs="Times New Roman"/>
                <w:b/>
                <w:color w:val="auto"/>
                <w:spacing w:val="0"/>
                <w:kern w:val="2"/>
                <w:highlight w:val="none"/>
              </w:rPr>
              <w:t>环保投资（万元）</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highlight w:val="none"/>
                <w:lang w:eastAsia="zh-CN"/>
              </w:rPr>
            </w:pPr>
            <w:r>
              <w:rPr>
                <w:rFonts w:hint="eastAsia" w:cs="Times New Roman"/>
                <w:color w:val="auto"/>
                <w:spacing w:val="0"/>
                <w:kern w:val="2"/>
                <w:highlight w:val="none"/>
                <w:lang w:eastAsia="zh-CN"/>
              </w:rPr>
              <w:t>154.2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环保投资占比（%）</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Cs w:val="24"/>
                <w:lang w:eastAsia="zh-CN"/>
              </w:rPr>
            </w:pPr>
            <w:r>
              <w:rPr>
                <w:rFonts w:hint="eastAsia" w:cs="Times New Roman"/>
                <w:color w:val="auto"/>
                <w:spacing w:val="0"/>
                <w:kern w:val="2"/>
                <w:szCs w:val="24"/>
                <w:highlight w:val="none"/>
                <w:lang w:eastAsia="zh-CN"/>
              </w:rPr>
              <w:t>0.75</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施工工期</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color w:val="auto"/>
                <w:spacing w:val="0"/>
                <w:kern w:val="2"/>
              </w:rPr>
            </w:pPr>
            <w:r>
              <w:rPr>
                <w:rFonts w:hint="default" w:ascii="Times New Roman" w:hAnsi="Times New Roman" w:cs="Times New Roman"/>
                <w:color w:val="auto"/>
                <w:spacing w:val="0"/>
                <w:kern w:val="2"/>
                <w:lang w:val="en-US" w:eastAsia="zh-CN"/>
              </w:rPr>
              <w:t>30</w:t>
            </w:r>
            <w:r>
              <w:rPr>
                <w:rFonts w:hint="default" w:ascii="Times New Roman" w:hAnsi="Times New Roman" w:cs="Times New Roman"/>
                <w:color w:val="auto"/>
                <w:spacing w:val="0"/>
                <w:kern w:val="2"/>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是否开工建</w:t>
            </w:r>
          </w:p>
        </w:tc>
        <w:tc>
          <w:tcPr>
            <w:tcW w:w="1936" w:type="dxa"/>
            <w:vAlign w:val="center"/>
          </w:tcPr>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0052"/>
            </w:r>
            <w:r>
              <w:rPr>
                <w:rFonts w:hint="default" w:ascii="Times New Roman" w:hAnsi="Times New Roman" w:cs="Times New Roman"/>
                <w:color w:val="auto"/>
                <w:spacing w:val="0"/>
                <w:kern w:val="2"/>
                <w:szCs w:val="24"/>
              </w:rPr>
              <w:t>否</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00A3"/>
            </w:r>
            <w:r>
              <w:rPr>
                <w:rFonts w:hint="default" w:ascii="Times New Roman" w:hAnsi="Times New Roman" w:cs="Times New Roman"/>
                <w:color w:val="auto"/>
                <w:spacing w:val="0"/>
                <w:kern w:val="2"/>
                <w:szCs w:val="24"/>
              </w:rPr>
              <w:t>是</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用地（用海）</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面积（m</w:t>
            </w:r>
            <w:r>
              <w:rPr>
                <w:rFonts w:hint="default" w:ascii="Times New Roman" w:hAnsi="Times New Roman" w:cs="Times New Roman"/>
                <w:b/>
                <w:color w:val="auto"/>
                <w:spacing w:val="0"/>
                <w:kern w:val="2"/>
                <w:szCs w:val="24"/>
                <w:vertAlign w:val="superscript"/>
              </w:rPr>
              <w:t>2</w:t>
            </w:r>
            <w:r>
              <w:rPr>
                <w:rFonts w:hint="default" w:ascii="Times New Roman" w:hAnsi="Times New Roman" w:cs="Times New Roman"/>
                <w:b/>
                <w:color w:val="auto"/>
                <w:spacing w:val="0"/>
                <w:kern w:val="2"/>
                <w:szCs w:val="24"/>
              </w:rPr>
              <w:t>）</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rPr>
              <w:t>11534.99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专项评价设置情况</w:t>
            </w:r>
          </w:p>
        </w:tc>
        <w:tc>
          <w:tcPr>
            <w:tcW w:w="729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根据《建设项目环境影响报告表编制技术指南（污染影响类）》：</w:t>
            </w:r>
          </w:p>
          <w:p>
            <w:pPr>
              <w:adjustRightInd w:val="0"/>
              <w:snapToGrid w:val="0"/>
              <w:spacing w:line="360" w:lineRule="auto"/>
              <w:ind w:left="0" w:leftChars="0" w:right="0" w:rightChars="0" w:firstLine="0" w:firstLineChars="0"/>
              <w:jc w:val="center"/>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rPr>
              <w:t>表1-1  专项评价设置原则表</w:t>
            </w:r>
          </w:p>
          <w:tbl>
            <w:tblPr>
              <w:tblStyle w:val="37"/>
              <w:tblW w:w="7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034"/>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专项评价的原则</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设置原则</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大气</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排放废气含有毒有害污染物</w:t>
                  </w:r>
                  <w:r>
                    <w:rPr>
                      <w:rFonts w:hint="default" w:ascii="Times New Roman" w:hAnsi="Times New Roman" w:cs="Times New Roman"/>
                      <w:color w:val="auto"/>
                      <w:spacing w:val="0"/>
                      <w:kern w:val="2"/>
                      <w:sz w:val="21"/>
                      <w:vertAlign w:val="superscript"/>
                    </w:rPr>
                    <w:t>1</w:t>
                  </w:r>
                  <w:r>
                    <w:rPr>
                      <w:rFonts w:hint="default" w:ascii="Times New Roman" w:hAnsi="Times New Roman" w:cs="Times New Roman"/>
                      <w:color w:val="auto"/>
                      <w:spacing w:val="0"/>
                      <w:kern w:val="2"/>
                      <w:sz w:val="21"/>
                    </w:rPr>
                    <w:t>、二噁英、苯并[a]芘、氰化物、氯气且厂界外500米范围内有环境空气保护目标</w:t>
                  </w:r>
                  <w:r>
                    <w:rPr>
                      <w:rFonts w:hint="default" w:ascii="Times New Roman" w:hAnsi="Times New Roman" w:cs="Times New Roman"/>
                      <w:color w:val="auto"/>
                      <w:spacing w:val="0"/>
                      <w:kern w:val="2"/>
                      <w:sz w:val="21"/>
                      <w:vertAlign w:val="superscript"/>
                    </w:rPr>
                    <w:t>2</w:t>
                  </w:r>
                  <w:r>
                    <w:rPr>
                      <w:rFonts w:hint="default" w:ascii="Times New Roman" w:hAnsi="Times New Roman" w:cs="Times New Roman"/>
                      <w:color w:val="auto"/>
                      <w:spacing w:val="0"/>
                      <w:kern w:val="2"/>
                      <w:sz w:val="21"/>
                    </w:rPr>
                    <w:t>的建设项目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项目为姚安县保健院妇婴医院住院综合楼建设项目</w:t>
                  </w:r>
                  <w:r>
                    <w:rPr>
                      <w:rFonts w:hint="default" w:ascii="Times New Roman" w:hAnsi="Times New Roman" w:cs="Times New Roman"/>
                      <w:color w:val="auto"/>
                      <w:spacing w:val="0"/>
                      <w:kern w:val="2"/>
                      <w:sz w:val="21"/>
                      <w:lang w:eastAsia="zh-CN"/>
                    </w:rPr>
                    <w:t>，</w:t>
                  </w:r>
                  <w:r>
                    <w:rPr>
                      <w:rFonts w:hint="default" w:ascii="Times New Roman" w:hAnsi="Times New Roman" w:cs="Times New Roman"/>
                      <w:color w:val="auto"/>
                      <w:spacing w:val="0"/>
                      <w:kern w:val="2"/>
                      <w:sz w:val="21"/>
                    </w:rPr>
                    <w:t>不涉及有毒有害污染物，因此无需开展大气专项评价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地表水</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新增工业废水直排建设项目（槽罐车外送污水处理厂的除外）； 新增废水直排的污水集中处理厂</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项目为姚安县保健院妇婴医院住院综合楼建设项目，不属于新增工业废水直排</w:t>
                  </w:r>
                  <w:r>
                    <w:rPr>
                      <w:rFonts w:hint="default" w:ascii="Times New Roman" w:hAnsi="Times New Roman" w:cs="Times New Roman"/>
                      <w:color w:val="auto"/>
                      <w:spacing w:val="0"/>
                      <w:kern w:val="2"/>
                      <w:sz w:val="21"/>
                      <w:lang w:eastAsia="zh-CN"/>
                    </w:rPr>
                    <w:t>口</w:t>
                  </w:r>
                  <w:r>
                    <w:rPr>
                      <w:rFonts w:hint="default" w:ascii="Times New Roman" w:hAnsi="Times New Roman" w:cs="Times New Roman"/>
                      <w:color w:val="auto"/>
                      <w:spacing w:val="0"/>
                      <w:kern w:val="2"/>
                      <w:sz w:val="21"/>
                    </w:rPr>
                    <w:t>，</w:t>
                  </w:r>
                  <w:r>
                    <w:rPr>
                      <w:rFonts w:hint="default" w:ascii="Times New Roman" w:hAnsi="Times New Roman" w:cs="Times New Roman"/>
                      <w:color w:val="auto"/>
                      <w:spacing w:val="0"/>
                      <w:kern w:val="2"/>
                      <w:sz w:val="21"/>
                      <w:lang w:eastAsia="zh-CN"/>
                    </w:rPr>
                    <w:t>不属于新增废水直排的污水集中处理厂，</w:t>
                  </w:r>
                  <w:r>
                    <w:rPr>
                      <w:rFonts w:hint="default" w:ascii="Times New Roman" w:hAnsi="Times New Roman" w:cs="Times New Roman"/>
                      <w:color w:val="auto"/>
                      <w:spacing w:val="0"/>
                      <w:kern w:val="2"/>
                      <w:sz w:val="21"/>
                    </w:rPr>
                    <w:t>故本评价不设置地表水专项评价；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环境风险</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有毒有害和易燃易爆危险物质存储量超过临界量</w:t>
                  </w:r>
                  <w:r>
                    <w:rPr>
                      <w:rFonts w:hint="default" w:ascii="Times New Roman" w:hAnsi="Times New Roman" w:cs="Times New Roman"/>
                      <w:color w:val="auto"/>
                      <w:spacing w:val="0"/>
                      <w:kern w:val="2"/>
                      <w:sz w:val="21"/>
                      <w:vertAlign w:val="superscript"/>
                    </w:rPr>
                    <w:t>3</w:t>
                  </w:r>
                  <w:r>
                    <w:rPr>
                      <w:rFonts w:hint="default" w:ascii="Times New Roman" w:hAnsi="Times New Roman" w:cs="Times New Roman"/>
                      <w:color w:val="auto"/>
                      <w:spacing w:val="0"/>
                      <w:kern w:val="2"/>
                      <w:sz w:val="21"/>
                    </w:rPr>
                    <w:t>的建设项目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本项目涉及的风险物质为酒精、次氯酸钠及</w:t>
                  </w:r>
                  <w:r>
                    <w:rPr>
                      <w:rFonts w:hint="eastAsia" w:cs="Times New Roman"/>
                      <w:color w:val="auto"/>
                      <w:spacing w:val="0"/>
                      <w:kern w:val="2"/>
                      <w:sz w:val="21"/>
                      <w:lang w:eastAsia="zh-CN"/>
                    </w:rPr>
                    <w:t>柴油</w:t>
                  </w:r>
                  <w:r>
                    <w:rPr>
                      <w:rFonts w:hint="default" w:ascii="Times New Roman" w:hAnsi="Times New Roman" w:cs="Times New Roman"/>
                      <w:color w:val="auto"/>
                      <w:spacing w:val="0"/>
                      <w:kern w:val="2"/>
                      <w:sz w:val="21"/>
                    </w:rPr>
                    <w:t>，其储存量较小，未达到物质储存临界量，故本评价不设置环境风险专项评价，因此无需开展环境风险专项评价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生态</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取水口下游500米范围内有重要水生生物的自然产卵场、索饵场、越冬场和洄游通道的新增河道取水的污染类建设项目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本项目属于城镇建成区，项目使用自来水，不涉及取水口，且不属于重要水生生物的自然产卵场、索饵场、越冬场和洄游通道的河道取水的污染类建设项目，故本评价不设置生态专项评价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海洋</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直接向海排放污染物的海洋工程建设项目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本项目属于内陆城镇建成区，不涉及直接向海洋排放污染物的海洋工程建设项目，故本评价不设置海洋专项评价。</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pacing w:val="0"/>
                <w:kern w:val="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规划情况</w:t>
            </w:r>
          </w:p>
        </w:tc>
        <w:tc>
          <w:tcPr>
            <w:tcW w:w="7291" w:type="dxa"/>
            <w:gridSpan w:val="5"/>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bCs/>
                <w:color w:val="auto"/>
                <w:spacing w:val="0"/>
                <w:kern w:val="2"/>
                <w:szCs w:val="24"/>
              </w:rPr>
            </w:pPr>
            <w:r>
              <w:rPr>
                <w:rFonts w:hint="default" w:ascii="Times New Roman" w:hAnsi="Times New Roman" w:cs="Times New Roman"/>
                <w:bCs/>
                <w:color w:val="auto"/>
                <w:spacing w:val="0"/>
                <w:kern w:val="2"/>
                <w:szCs w:val="24"/>
              </w:rPr>
              <w:t>《云南省姚安县城总体规划修改(2015-2030)》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规划环境影响评价情况</w:t>
            </w:r>
          </w:p>
        </w:tc>
        <w:tc>
          <w:tcPr>
            <w:tcW w:w="729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bCs/>
                <w:color w:val="auto"/>
                <w:spacing w:val="0"/>
                <w:kern w:val="2"/>
                <w:szCs w:val="24"/>
              </w:rPr>
            </w:pPr>
            <w:r>
              <w:rPr>
                <w:rFonts w:hint="default" w:ascii="Times New Roman" w:hAnsi="Times New Roman" w:cs="Times New Roman" w:eastAsiaTheme="minorEastAsia"/>
                <w:bCs/>
                <w:color w:val="auto"/>
                <w:spacing w:val="0"/>
                <w:kern w:val="2"/>
                <w:szCs w:val="24"/>
              </w:rPr>
              <w:t>本项目根据《云南省姚安县城总体规划修改(2015-2030)》纲要，栋川城区土地利用规划图2030，项目用地土地使用性质为</w:t>
            </w:r>
            <w:r>
              <w:rPr>
                <w:rFonts w:hint="eastAsia" w:ascii="Times New Roman" w:hAnsi="Times New Roman" w:cs="Times New Roman"/>
                <w:bCs/>
                <w:color w:val="auto"/>
                <w:spacing w:val="0"/>
                <w:kern w:val="2"/>
                <w:szCs w:val="24"/>
                <w:lang w:eastAsia="zh-CN"/>
              </w:rPr>
              <w:t>医院用地（类别代号</w:t>
            </w:r>
            <w:r>
              <w:rPr>
                <w:rFonts w:hint="eastAsia" w:ascii="Times New Roman" w:hAnsi="Times New Roman" w:cs="Times New Roman"/>
                <w:bCs/>
                <w:color w:val="auto"/>
                <w:spacing w:val="0"/>
                <w:kern w:val="2"/>
                <w:szCs w:val="24"/>
                <w:lang w:val="en-US" w:eastAsia="zh-CN"/>
              </w:rPr>
              <w:t>A5</w:t>
            </w:r>
            <w:r>
              <w:rPr>
                <w:rFonts w:hint="eastAsia" w:ascii="Times New Roman" w:hAnsi="Times New Roman" w:cs="Times New Roman"/>
                <w:bCs/>
                <w:color w:val="auto"/>
                <w:spacing w:val="0"/>
                <w:kern w:val="2"/>
                <w:szCs w:val="24"/>
                <w:lang w:eastAsia="zh-CN"/>
              </w:rPr>
              <w:t>）</w:t>
            </w:r>
            <w:r>
              <w:rPr>
                <w:rFonts w:hint="default" w:ascii="Times New Roman" w:hAnsi="Times New Roman" w:cs="Times New Roman" w:eastAsiaTheme="minorEastAsia"/>
                <w:bCs/>
                <w:color w:val="auto"/>
                <w:spacing w:val="0"/>
                <w:kern w:val="2"/>
                <w:szCs w:val="24"/>
              </w:rPr>
              <w:t>，根据《建设用地规划许可证》（地字第532325</w:t>
            </w:r>
            <w:r>
              <w:rPr>
                <w:rFonts w:hint="eastAsia" w:ascii="Times New Roman" w:hAnsi="Times New Roman" w:cs="Times New Roman"/>
                <w:bCs/>
                <w:color w:val="auto"/>
                <w:spacing w:val="0"/>
                <w:kern w:val="2"/>
                <w:szCs w:val="24"/>
                <w:lang w:val="en-US" w:eastAsia="zh-CN"/>
              </w:rPr>
              <w:t>202072</w:t>
            </w:r>
            <w:r>
              <w:rPr>
                <w:rFonts w:hint="default" w:ascii="Times New Roman" w:hAnsi="Times New Roman" w:cs="Times New Roman" w:eastAsiaTheme="minorEastAsia"/>
                <w:bCs/>
                <w:color w:val="auto"/>
                <w:spacing w:val="0"/>
                <w:kern w:val="2"/>
                <w:szCs w:val="24"/>
              </w:rPr>
              <w:t>号）等资料可知，项目用地与总体规划相符。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规划及规划环境影响评价符合性分析</w:t>
            </w:r>
          </w:p>
        </w:tc>
        <w:tc>
          <w:tcPr>
            <w:tcW w:w="7291" w:type="dxa"/>
            <w:gridSpan w:val="5"/>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bCs/>
                <w:color w:val="auto"/>
                <w:spacing w:val="0"/>
                <w:kern w:val="2"/>
                <w:szCs w:val="24"/>
              </w:rPr>
            </w:pPr>
            <w:r>
              <w:rPr>
                <w:rFonts w:hint="default" w:ascii="Times New Roman" w:hAnsi="Times New Roman" w:cs="Times New Roman"/>
                <w:bCs/>
                <w:color w:val="auto"/>
                <w:spacing w:val="0"/>
                <w:kern w:val="2"/>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其他符合性分析</w:t>
            </w:r>
          </w:p>
        </w:tc>
        <w:tc>
          <w:tcPr>
            <w:tcW w:w="7291" w:type="dxa"/>
            <w:gridSpan w:val="5"/>
            <w:vAlign w:val="center"/>
          </w:tcPr>
          <w:p>
            <w:pPr>
              <w:spacing w:line="360" w:lineRule="auto"/>
              <w:ind w:firstLine="482"/>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1、项目与《楚雄州“三线一单”生态环境分区管控实施方案》的符合性分析</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（1）生态保护红线</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姚安县保健院妇婴医院住院综合楼建设项目，位于姚安县栋川镇下栖霞路与</w:t>
            </w:r>
            <w:r>
              <w:rPr>
                <w:rFonts w:hint="eastAsia" w:eastAsia="宋体" w:cs="Times New Roman"/>
                <w:color w:val="auto"/>
                <w:spacing w:val="0"/>
                <w:kern w:val="2"/>
                <w:sz w:val="24"/>
                <w:szCs w:val="24"/>
                <w:lang w:val="en-US" w:eastAsia="zh-CN" w:bidi="ar"/>
              </w:rPr>
              <w:t>春晖路</w:t>
            </w:r>
            <w:r>
              <w:rPr>
                <w:rFonts w:hint="default" w:ascii="Times New Roman" w:hAnsi="Times New Roman" w:eastAsia="宋体" w:cs="Times New Roman"/>
                <w:color w:val="auto"/>
                <w:spacing w:val="0"/>
                <w:kern w:val="2"/>
                <w:sz w:val="24"/>
                <w:szCs w:val="24"/>
                <w:lang w:val="en-US" w:eastAsia="zh-CN" w:bidi="ar"/>
              </w:rPr>
              <w:t>交汇口西处，项目区不涉及文物保护单位、自然保护区、风景名胜区、森林公园等环境敏感区和特殊功能生态区。根据楚雄彝族自治州人民政府文件《楚雄州人民政府关于印发楚雄州“三线一单”生态环境分区管控实施方案的通知》（楚政通（2021）22号）：执行省人民政府发布的《云南省生态保护红线》，将未划入生态保护红线的自然保护地、饮用水水源保护区、重要湿地、基本草原、生态公益林、天然林等生态功能重要、生态环境敏感区域划为一般生态空间。结合《云南省人民政府关于发布云南省生态保护红线的通知》（云政发[2018]32 号）中生态保护红线的划定对象要求，项目区不在《云南省生态保护红线》功能区范围内。</w:t>
            </w:r>
          </w:p>
          <w:p>
            <w:pPr>
              <w:keepNext w:val="0"/>
              <w:keepLines w:val="0"/>
              <w:widowControl/>
              <w:suppressLineNumbers w:val="0"/>
              <w:spacing w:line="360" w:lineRule="auto"/>
              <w:jc w:val="both"/>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本项目位于云南省楚雄州</w:t>
            </w:r>
            <w:r>
              <w:rPr>
                <w:rFonts w:hint="default" w:ascii="Times New Roman" w:hAnsi="Times New Roman" w:eastAsia="宋体" w:cs="Times New Roman"/>
                <w:color w:val="auto"/>
                <w:spacing w:val="0"/>
                <w:kern w:val="2"/>
                <w:szCs w:val="24"/>
                <w:lang w:eastAsia="zh-CN"/>
              </w:rPr>
              <w:t>姚安县栋川镇下栖霞路与</w:t>
            </w:r>
            <w:r>
              <w:rPr>
                <w:rFonts w:hint="eastAsia" w:eastAsia="宋体" w:cs="Times New Roman"/>
                <w:color w:val="auto"/>
                <w:spacing w:val="0"/>
                <w:kern w:val="2"/>
                <w:szCs w:val="24"/>
                <w:lang w:eastAsia="zh-CN"/>
              </w:rPr>
              <w:t>春晖路</w:t>
            </w:r>
            <w:r>
              <w:rPr>
                <w:rFonts w:hint="default" w:ascii="Times New Roman" w:hAnsi="Times New Roman" w:eastAsia="宋体" w:cs="Times New Roman"/>
                <w:color w:val="auto"/>
                <w:spacing w:val="0"/>
                <w:kern w:val="2"/>
                <w:szCs w:val="24"/>
                <w:lang w:eastAsia="zh-CN"/>
              </w:rPr>
              <w:t>交汇口西处</w:t>
            </w:r>
            <w:r>
              <w:rPr>
                <w:rFonts w:hint="default" w:ascii="Times New Roman" w:hAnsi="Times New Roman" w:eastAsia="宋体" w:cs="Times New Roman"/>
                <w:color w:val="auto"/>
                <w:spacing w:val="0"/>
                <w:kern w:val="2"/>
                <w:sz w:val="24"/>
                <w:szCs w:val="24"/>
                <w:lang w:val="en-US" w:eastAsia="zh-CN" w:bidi="ar"/>
              </w:rPr>
              <w:t>，属于城镇建成区，项目区不涉及占用生态保护红线，即不在《生态保护红线》确定的生态红线范围之内，因此项目建设符合生态红线要求。</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（2）环境质量底线</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根据楚雄彝族自治州人民政府文件《楚雄州人民政府关于印发楚雄州“三线一单”生态环境分区管控实施方案的通知》（楚政通（2021）22号）环境质量底线：</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①</w:t>
            </w:r>
            <w:r>
              <w:rPr>
                <w:rFonts w:hint="default" w:ascii="Times New Roman" w:hAnsi="Times New Roman" w:cs="Times New Roman"/>
                <w:color w:val="auto"/>
                <w:spacing w:val="0"/>
                <w:kern w:val="2"/>
              </w:rPr>
              <w:t>水环境质量底线。到2025年，国控、省控地表水监测断面水质优良率高于全国全省平均水平，重点区域、流域水环境质量进一步改善，全面消除劣Ⅴ类水体，集中式饮用水水源水质巩固改善。到2035年，地表水体水质优良率全面提升，各监测断面水质达到水环境功能要求，全面消除Ⅴ类及以下水体，集中式饮用水水源水质稳定达标。</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②大气环境质量底线。到2025年，环境空气质量稳中向好，10县市城市环境空气质量稳定达到国家二级标准。到2035年，环境空气质量全面改善，10县市城市环境空气质量优于国家一级标准天数逐步提高。</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rPr>
              <w:t>③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p>
            <w:pPr>
              <w:keepNext w:val="0"/>
              <w:keepLines w:val="0"/>
              <w:widowControl/>
              <w:suppressLineNumbers w:val="0"/>
              <w:spacing w:line="360" w:lineRule="auto"/>
              <w:jc w:val="left"/>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项目所在区域的环境空气、地表水、声环境等环境现状均能满足相应的标准要求。企业在严格采取设计及本环评所提措施后，项目施工及运营期对外环境的影响较小，不会改变区域环境功能，符合环境质量底线要求，因此项目所在区域环境质量良好，未超出环境质量底线。</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（3）资源利用上线</w:t>
            </w:r>
          </w:p>
          <w:p>
            <w:pPr>
              <w:spacing w:line="360" w:lineRule="auto"/>
              <w:ind w:firstLine="480"/>
              <w:jc w:val="both"/>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w:t>
            </w:r>
            <w:r>
              <w:rPr>
                <w:rFonts w:hint="default" w:ascii="Times New Roman" w:hAnsi="Times New Roman" w:cs="Times New Roman"/>
                <w:color w:val="auto"/>
                <w:spacing w:val="0"/>
                <w:kern w:val="2"/>
              </w:rPr>
              <w:t>资源利用上线</w:t>
            </w:r>
            <w:r>
              <w:rPr>
                <w:rFonts w:hint="default" w:ascii="Times New Roman" w:hAnsi="Times New Roman" w:cs="Times New Roman"/>
                <w:color w:val="auto"/>
                <w:spacing w:val="0"/>
                <w:kern w:val="2"/>
                <w:lang w:val="en-US" w:eastAsia="zh-CN"/>
              </w:rPr>
              <w:t>：</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①水资源利用上线。落实最严格水资源管理制度，稳定达到水资源利用“ 三条红线” 控制指标考核要求。2025年，各县市用水总量、用水效率（万元GDP用水量、万元工业增加值用水量、农田灌溉水有效利用系数）、重要江河湖泊水功能区水质达标率满足水资源利用上线的管控要求。</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②土地资源利用上线。落实最严格的耕地保护制度。2025年，各县市土地利用达到自然资源和规划、住建等部门对土地资源开发利用总量及强度的土地资源利用上线管控要求。</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③能源利用上线。严格落实能耗“ 双控” 制度。2025年全州单位GDP能耗、能源消耗总量等满足能源利用上线的管控要求。</w:t>
            </w:r>
          </w:p>
          <w:p>
            <w:pPr>
              <w:keepNext w:val="0"/>
              <w:keepLines w:val="0"/>
              <w:widowControl/>
              <w:suppressLineNumbers w:val="0"/>
              <w:spacing w:line="360" w:lineRule="auto"/>
              <w:jc w:val="both"/>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本项目运营过程中消耗一定量的电能、水资源等资源，项目资源的消耗量相对区域资源利用总量较少，符合资源利用上线的要求</w:t>
            </w:r>
            <w:r>
              <w:rPr>
                <w:rFonts w:hint="default" w:ascii="Times New Roman" w:hAnsi="Times New Roman" w:cs="Times New Roman"/>
                <w:color w:val="auto"/>
                <w:spacing w:val="0"/>
                <w:kern w:val="2"/>
              </w:rPr>
              <w:t>。</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（4）生态环境准入清单</w:t>
            </w:r>
          </w:p>
          <w:p>
            <w:pPr>
              <w:keepNext w:val="0"/>
              <w:keepLines w:val="0"/>
              <w:widowControl/>
              <w:suppressLineNumbers w:val="0"/>
              <w:spacing w:line="360" w:lineRule="auto"/>
              <w:jc w:val="left"/>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根据楚雄彝族自治州人民政府文件《楚雄州人民政府关于印发楚雄州“三线一单”生态环境分区管控实施方案的通知》（楚政通（2021）22号），楚雄州</w:t>
            </w:r>
            <w:r>
              <w:rPr>
                <w:rFonts w:hint="default" w:ascii="Times New Roman" w:hAnsi="Times New Roman" w:cs="Times New Roman"/>
                <w:color w:val="auto"/>
                <w:spacing w:val="0"/>
                <w:kern w:val="2"/>
              </w:rPr>
              <w:t>生态环境</w:t>
            </w:r>
            <w:r>
              <w:rPr>
                <w:rFonts w:hint="default" w:ascii="Times New Roman" w:hAnsi="Times New Roman" w:cs="Times New Roman"/>
                <w:color w:val="auto"/>
                <w:spacing w:val="0"/>
                <w:kern w:val="2"/>
                <w:lang w:val="en-US" w:eastAsia="zh-CN"/>
              </w:rPr>
              <w:t>管控总体要求见表1-2，楚雄州优先保护单元、一般保护单元</w:t>
            </w:r>
            <w:r>
              <w:rPr>
                <w:rFonts w:hint="default" w:ascii="Times New Roman" w:hAnsi="Times New Roman" w:cs="Times New Roman"/>
                <w:color w:val="auto"/>
                <w:spacing w:val="0"/>
                <w:kern w:val="2"/>
              </w:rPr>
              <w:t>生态环境准入清单</w:t>
            </w:r>
            <w:r>
              <w:rPr>
                <w:rFonts w:hint="default" w:ascii="Times New Roman" w:hAnsi="Times New Roman" w:cs="Times New Roman"/>
                <w:color w:val="auto"/>
                <w:spacing w:val="0"/>
                <w:kern w:val="2"/>
                <w:lang w:val="en-US" w:eastAsia="zh-CN"/>
              </w:rPr>
              <w:t>详见表1-2。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表1-2  楚雄州生态环境管控总体要求</w:t>
            </w:r>
          </w:p>
          <w:tbl>
            <w:tblPr>
              <w:tblStyle w:val="38"/>
              <w:tblW w:w="7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664"/>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管控领域</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准入要求</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空间布局约束</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（2）严格按照《云南省长江经济带发展负面清单指南实施细则》（试行）要求，禁止在金沙江、长江一级支流（南广河、赤水河）岸线边界 1 公里范围内新建、扩建化工园区和化工项目。禁止在合规园区外新建、扩建钢铁、石化、化工、焦化、建材、有色等高污染项目。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（3）禁止在金沙江、长江一级支流（南广河、赤水河）建设除党中央、国务院、国家投资主管部门、省级有关部门批复同意以外的过江基础设施项目。禁止在金沙江岸线 3 公里、长江一级支流岸线（南广河、赤水河）1 公里范围内新建、改建、扩建尾矿库。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（4）在永久基本农田集中区域，不得新建可能造成土壤污染的建设项目；已建成的应当限期关闭拆除。拟开发为农用地的未利用地，要开展土壤环境质量状况评估，不符合相应标准的，不得种植食用农产品。</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w:t>
                  </w:r>
                  <w:r>
                    <w:rPr>
                      <w:rFonts w:hint="default" w:ascii="Times New Roman" w:hAnsi="Times New Roman" w:eastAsia="宋体" w:cs="Times New Roman"/>
                      <w:color w:val="auto"/>
                      <w:spacing w:val="0"/>
                      <w:kern w:val="2"/>
                      <w:sz w:val="21"/>
                      <w:szCs w:val="21"/>
                      <w:lang w:val="en-US" w:eastAsia="zh-CN" w:bidi="ar"/>
                    </w:rPr>
                    <w:t>属于《产业结构调整指导目录（2019 年本）》规定中鼓励类项目（第三十七款“卫生健康”中第 5 条医疗卫生服务设施建设）。因此，本项目的建设符合国家有关产业政策.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auto"/>
                      <w:spacing w:val="0"/>
                      <w:kern w:val="2"/>
                      <w:sz w:val="21"/>
                      <w:szCs w:val="21"/>
                    </w:rPr>
                  </w:pPr>
                  <w:r>
                    <w:rPr>
                      <w:rFonts w:hint="default" w:ascii="Times New Roman" w:hAnsi="Times New Roman" w:cs="Times New Roman"/>
                      <w:color w:val="auto"/>
                      <w:spacing w:val="0"/>
                      <w:kern w:val="2"/>
                      <w:sz w:val="21"/>
                      <w:szCs w:val="21"/>
                      <w:lang w:eastAsia="zh-CN"/>
                    </w:rPr>
                    <w:t>（</w:t>
                  </w:r>
                  <w:r>
                    <w:rPr>
                      <w:rFonts w:hint="default" w:ascii="Times New Roman" w:hAnsi="Times New Roman" w:cs="Times New Roman"/>
                      <w:color w:val="auto"/>
                      <w:spacing w:val="0"/>
                      <w:kern w:val="2"/>
                      <w:sz w:val="21"/>
                      <w:szCs w:val="21"/>
                      <w:lang w:val="en-US" w:eastAsia="zh-CN"/>
                    </w:rPr>
                    <w:t>2</w:t>
                  </w:r>
                  <w:r>
                    <w:rPr>
                      <w:rFonts w:hint="default" w:ascii="Times New Roman" w:hAnsi="Times New Roman" w:cs="Times New Roman"/>
                      <w:color w:val="auto"/>
                      <w:spacing w:val="0"/>
                      <w:kern w:val="2"/>
                      <w:sz w:val="21"/>
                      <w:szCs w:val="21"/>
                      <w:lang w:eastAsia="zh-CN"/>
                    </w:rPr>
                    <w:t>）</w:t>
                  </w:r>
                  <w:r>
                    <w:rPr>
                      <w:rFonts w:hint="default" w:ascii="Times New Roman" w:hAnsi="Times New Roman" w:cs="Times New Roman"/>
                      <w:color w:val="auto"/>
                      <w:spacing w:val="0"/>
                      <w:kern w:val="2"/>
                      <w:sz w:val="21"/>
                      <w:szCs w:val="21"/>
                    </w:rPr>
                    <w:t>本项目与《云南省长江经济带发展负面清单指南（试行）》符合。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eastAsia="zh-CN"/>
                    </w:rPr>
                    <w:t>（</w:t>
                  </w:r>
                  <w:r>
                    <w:rPr>
                      <w:rFonts w:hint="default" w:ascii="Times New Roman" w:hAnsi="Times New Roman" w:eastAsia="宋体" w:cs="Times New Roman"/>
                      <w:color w:val="auto"/>
                      <w:spacing w:val="0"/>
                      <w:kern w:val="2"/>
                      <w:sz w:val="21"/>
                      <w:szCs w:val="21"/>
                      <w:lang w:val="en-US" w:eastAsia="zh-CN"/>
                    </w:rPr>
                    <w:t>3</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，位于姚安县栋川镇</w:t>
                  </w:r>
                  <w:r>
                    <w:rPr>
                      <w:rFonts w:hint="default" w:ascii="Times New Roman" w:hAnsi="Times New Roman" w:cs="Times New Roman"/>
                      <w:color w:val="auto"/>
                      <w:spacing w:val="0"/>
                      <w:kern w:val="2"/>
                      <w:sz w:val="21"/>
                      <w:szCs w:val="21"/>
                      <w:lang w:eastAsia="zh-CN"/>
                    </w:rPr>
                    <w:t>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w:t>
                  </w:r>
                  <w:r>
                    <w:rPr>
                      <w:rFonts w:hint="default" w:ascii="Times New Roman" w:hAnsi="Times New Roman" w:eastAsia="宋体" w:cs="Times New Roman"/>
                      <w:b w:val="0"/>
                      <w:bCs w:val="0"/>
                      <w:color w:val="auto"/>
                      <w:spacing w:val="0"/>
                      <w:kern w:val="2"/>
                      <w:sz w:val="21"/>
                      <w:szCs w:val="21"/>
                      <w:lang w:val="en-US" w:eastAsia="zh-CN" w:bidi="ar"/>
                    </w:rPr>
                    <w:t>在金沙江、长江3公里范围内。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pacing w:val="0"/>
                      <w:kern w:val="2"/>
                      <w:sz w:val="21"/>
                      <w:szCs w:val="21"/>
                      <w:lang w:eastAsia="zh-CN" w:bidi="ar"/>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w:t>
                  </w:r>
                  <w:r>
                    <w:rPr>
                      <w:rFonts w:hint="default" w:ascii="Times New Roman" w:hAnsi="Times New Roman" w:eastAsia="宋体" w:cs="Times New Roman"/>
                      <w:color w:val="auto"/>
                      <w:spacing w:val="0"/>
                      <w:kern w:val="2"/>
                      <w:sz w:val="21"/>
                      <w:szCs w:val="21"/>
                      <w:lang w:bidi="ar"/>
                    </w:rPr>
                    <w:t>本项目不占用基本农田</w:t>
                  </w:r>
                  <w:r>
                    <w:rPr>
                      <w:rFonts w:hint="default" w:ascii="Times New Roman" w:hAnsi="Times New Roman" w:eastAsia="宋体" w:cs="Times New Roman"/>
                      <w:color w:val="auto"/>
                      <w:spacing w:val="0"/>
                      <w:kern w:val="2"/>
                      <w:sz w:val="21"/>
                      <w:szCs w:val="21"/>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color w:val="auto"/>
                      <w:spacing w:val="0"/>
                      <w:kern w:val="2"/>
                      <w:sz w:val="21"/>
                      <w:szCs w:val="21"/>
                      <w:lang w:eastAsia="zh-CN" w:bidi="ar"/>
                    </w:rPr>
                    <w:t>（</w:t>
                  </w:r>
                  <w:r>
                    <w:rPr>
                      <w:rFonts w:hint="default" w:ascii="Times New Roman" w:hAnsi="Times New Roman" w:eastAsia="宋体" w:cs="Times New Roman"/>
                      <w:color w:val="auto"/>
                      <w:spacing w:val="0"/>
                      <w:kern w:val="2"/>
                      <w:sz w:val="21"/>
                      <w:szCs w:val="21"/>
                      <w:lang w:val="en-US" w:eastAsia="zh-CN" w:bidi="ar"/>
                    </w:rPr>
                    <w:t>5</w:t>
                  </w:r>
                  <w:r>
                    <w:rPr>
                      <w:rFonts w:hint="default" w:ascii="Times New Roman" w:hAnsi="Times New Roman" w:eastAsia="宋体" w:cs="Times New Roman"/>
                      <w:color w:val="auto"/>
                      <w:spacing w:val="0"/>
                      <w:kern w:val="2"/>
                      <w:sz w:val="21"/>
                      <w:szCs w:val="21"/>
                      <w:lang w:eastAsia="zh-CN" w:bidi="ar"/>
                    </w:rPr>
                    <w:t>）</w:t>
                  </w:r>
                  <w:r>
                    <w:rPr>
                      <w:rFonts w:hint="default" w:ascii="Times New Roman" w:hAnsi="Times New Roman" w:eastAsia="宋体" w:cs="Times New Roman"/>
                      <w:color w:val="auto"/>
                      <w:spacing w:val="0"/>
                      <w:kern w:val="2"/>
                      <w:sz w:val="21"/>
                      <w:szCs w:val="21"/>
                      <w:lang w:val="en-US" w:eastAsia="zh-CN" w:bidi="ar"/>
                    </w:rPr>
                    <w:t>本项目不涉及锅炉建设。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污染物排放管控</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（1）严格控制缺水地区、水污染严重地区和敏感区域高耗水、高污染行业发展，新建、改建、扩建重点行业建设项目实行主要水污染物排放减量置换。</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（3）加大 VOCs 减排力度，扎实推动 PM2.5 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（5）提高钢铁、水泥等高耗能产业减量置换比例，把高能效和低碳排放纳入产能减量置换门槛，明确重点行业二氧化碳排放达峰目标，控制工业、交通、建筑等行业温室气体排放。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（6）全州主要污染物总量控制目标达到省级考核要求。</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（1）本项目为姚安县保健院妇婴医院住院综合楼建设项目，属于民生建设工程，不属于高耗水、高污染行业。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属于城镇建成区，不属于</w:t>
                  </w:r>
                  <w:r>
                    <w:rPr>
                      <w:rFonts w:hint="default" w:ascii="Times New Roman" w:hAnsi="Times New Roman" w:eastAsia="宋体" w:cs="Times New Roman"/>
                      <w:b w:val="0"/>
                      <w:bCs w:val="0"/>
                      <w:color w:val="auto"/>
                      <w:spacing w:val="0"/>
                      <w:kern w:val="2"/>
                      <w:sz w:val="21"/>
                      <w:szCs w:val="21"/>
                      <w:lang w:val="en-US" w:eastAsia="zh-CN" w:bidi="ar"/>
                    </w:rPr>
                    <w:t>城乡饮用水水源地保护区。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（3）本项目为姚安县保健院妇婴医院住院综合楼建设项目，不涉及VOCs产排。</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lang w:val="en-US" w:eastAsia="zh-CN"/>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属于城镇建成区，项目建设对土壤影响较小。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cs="Times New Roman"/>
                      <w:color w:val="auto"/>
                      <w:spacing w:val="0"/>
                      <w:kern w:val="2"/>
                      <w:sz w:val="21"/>
                      <w:szCs w:val="21"/>
                      <w:lang w:val="en-US" w:eastAsia="zh-CN"/>
                    </w:rPr>
                    <w:t>（5）</w:t>
                  </w:r>
                  <w:r>
                    <w:rPr>
                      <w:rFonts w:hint="default" w:ascii="Times New Roman" w:hAnsi="Times New Roman" w:eastAsia="宋体" w:cs="Times New Roman"/>
                      <w:b w:val="0"/>
                      <w:bCs w:val="0"/>
                      <w:color w:val="auto"/>
                      <w:spacing w:val="0"/>
                      <w:kern w:val="2"/>
                      <w:sz w:val="21"/>
                      <w:szCs w:val="21"/>
                      <w:lang w:val="en-US" w:eastAsia="zh-CN" w:bidi="ar"/>
                    </w:rPr>
                    <w:t>本项目为姚安县保健院妇婴医院住院综合楼建设项目，属于民生建设工程，不属于高耗水、高污染行业。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highlight w:val="none"/>
                      <w:lang w:val="en-US" w:eastAsia="zh-CN" w:bidi="ar"/>
                    </w:rPr>
                    <w:t>（6）项目建成后，根据提出的污染物防治措施，污染物可达到《医疗机构水污染物排放标准》（GB18466-2005）标准。固体废物可得到妥善处置。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环境风险管控</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以金沙江楚雄段为重点，研究建立环境风险评估体系，定期评估沿江河湖库工业企业、工业集中区环境风险，落实防控措施。重点开展长江流域金沙江楚雄段生态隐患和环境风险调查评估，划定高风险区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（2）强化全州与其他滇中城市的大气污染防治联防联控协作机制，加强区域内重污染天气应急联动。</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w:t>
                  </w:r>
                  <w:r>
                    <w:rPr>
                      <w:rFonts w:hint="default" w:ascii="Times New Roman" w:hAnsi="Times New Roman" w:cs="Times New Roman"/>
                      <w:color w:val="auto"/>
                      <w:spacing w:val="0"/>
                      <w:kern w:val="2"/>
                      <w:sz w:val="21"/>
                      <w:szCs w:val="21"/>
                      <w:lang w:val="en-US" w:eastAsia="zh-CN"/>
                    </w:rPr>
                    <w:t>项目为姚安县保健院妇婴医院住院综合楼建设项目，涉及的风险物质为酒精、次氯酸钠，其储存量较小，未达到物质储存临界量，不属于</w:t>
                  </w:r>
                  <w:r>
                    <w:rPr>
                      <w:rFonts w:hint="default" w:ascii="Times New Roman" w:hAnsi="Times New Roman" w:eastAsia="宋体" w:cs="Times New Roman"/>
                      <w:b w:val="0"/>
                      <w:bCs w:val="0"/>
                      <w:color w:val="auto"/>
                      <w:spacing w:val="0"/>
                      <w:kern w:val="2"/>
                      <w:sz w:val="21"/>
                      <w:szCs w:val="21"/>
                      <w:lang w:val="en-US" w:eastAsia="zh-CN" w:bidi="ar"/>
                    </w:rPr>
                    <w:t>长江流域金沙江楚雄段生态隐患和环境风险划定高风险区域。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lang w:val="en-US" w:eastAsia="zh-CN"/>
                    </w:rPr>
                  </w:pPr>
                  <w:r>
                    <w:rPr>
                      <w:rFonts w:hint="default" w:ascii="Times New Roman" w:hAnsi="Times New Roman" w:eastAsia="宋体" w:cs="Times New Roman"/>
                      <w:b w:val="0"/>
                      <w:bCs w:val="0"/>
                      <w:color w:val="auto"/>
                      <w:spacing w:val="0"/>
                      <w:kern w:val="2"/>
                      <w:sz w:val="21"/>
                      <w:szCs w:val="21"/>
                      <w:lang w:val="en-US" w:eastAsia="zh-CN" w:bidi="ar"/>
                    </w:rPr>
                    <w:t>（2）</w:t>
                  </w:r>
                  <w:r>
                    <w:rPr>
                      <w:rFonts w:hint="default" w:ascii="Times New Roman" w:hAnsi="Times New Roman" w:cs="Times New Roman"/>
                      <w:color w:val="auto"/>
                      <w:spacing w:val="0"/>
                      <w:kern w:val="2"/>
                      <w:sz w:val="21"/>
                      <w:szCs w:val="21"/>
                      <w:lang w:val="en-US" w:eastAsia="zh-CN"/>
                    </w:rPr>
                    <w:t>项目为姚安县保健院妇婴医院住院综合楼建设项目，不属于环境空气重污染项目。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cs="Times New Roman"/>
                      <w:color w:val="auto"/>
                      <w:spacing w:val="0"/>
                      <w:kern w:val="2"/>
                      <w:sz w:val="21"/>
                      <w:szCs w:val="21"/>
                      <w:lang w:val="en-US" w:eastAsia="zh-CN"/>
                    </w:rPr>
                    <w:t>（3）</w:t>
                  </w:r>
                  <w:r>
                    <w:rPr>
                      <w:rFonts w:hint="default" w:ascii="Times New Roman" w:hAnsi="Times New Roman"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不属于</w:t>
                  </w:r>
                  <w:r>
                    <w:rPr>
                      <w:rFonts w:hint="default" w:ascii="Times New Roman" w:hAnsi="Times New Roman" w:eastAsia="宋体" w:cs="Times New Roman"/>
                      <w:b w:val="0"/>
                      <w:bCs w:val="0"/>
                      <w:color w:val="auto"/>
                      <w:spacing w:val="0"/>
                      <w:kern w:val="2"/>
                      <w:sz w:val="21"/>
                      <w:szCs w:val="21"/>
                      <w:lang w:val="en-US" w:eastAsia="zh-CN" w:bidi="ar"/>
                    </w:rPr>
                    <w:t>环境风险防控重点区域，项目建设不会引发环境风险。</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bidi="ar"/>
                    </w:rPr>
                    <w:t>本项目为</w:t>
                  </w:r>
                  <w:r>
                    <w:rPr>
                      <w:rFonts w:hint="default" w:ascii="Times New Roman" w:hAnsi="Times New Roman" w:eastAsia="宋体" w:cs="Times New Roman"/>
                      <w:color w:val="auto"/>
                      <w:spacing w:val="0"/>
                      <w:kern w:val="2"/>
                      <w:sz w:val="21"/>
                      <w:szCs w:val="21"/>
                      <w:lang w:eastAsia="zh-CN" w:bidi="ar"/>
                    </w:rPr>
                    <w:t>姚安县保健院妇婴医院住院综合楼建设项目</w:t>
                  </w:r>
                  <w:r>
                    <w:rPr>
                      <w:rFonts w:hint="default" w:ascii="Times New Roman" w:hAnsi="Times New Roman" w:eastAsia="宋体" w:cs="Times New Roman"/>
                      <w:color w:val="auto"/>
                      <w:spacing w:val="0"/>
                      <w:kern w:val="2"/>
                      <w:sz w:val="21"/>
                      <w:szCs w:val="21"/>
                      <w:lang w:bidi="ar"/>
                    </w:rPr>
                    <w:t>，不属于限制准入类别</w:t>
                  </w:r>
                  <w:r>
                    <w:rPr>
                      <w:rFonts w:hint="default" w:ascii="Times New Roman" w:hAnsi="Times New Roman" w:eastAsia="宋体" w:cs="Times New Roman"/>
                      <w:b w:val="0"/>
                      <w:bCs w:val="0"/>
                      <w:color w:val="auto"/>
                      <w:spacing w:val="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资源利用效率</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（1）降低水、土地、矿产资源消耗强度，强化约束性指标管理。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实行最严格的水资源管理制度，严格用水总量、强度指标管理，严格取水管控，建立重点监控取水单位名录，强化重点监控取水单位管理。全州年用水总量、万元工业增加值用水量降幅等指标达到省考核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（3）坚持最严格的耕地保护制度，守住耕地保护红线。坚持节约用地，严格执行耕地占补平衡等制度，提高土地投资强度和单位面积产出水平。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（4）全州单位GDP能耗持续下降，能耗增量控制目标达到省考核要求。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（5）鼓励全州石化、化工、有色金属冶炼等行业运用工业节水、技术和装备，促进企业废水深度处理回用。</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（6）实施金沙江龙川江等重点流域水库群联合调度，增加枯水期下泄流量，确保生态用水比例只增不降。</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（1）本项目为姚安县保健院妇婴医院住院综合楼建设项目，项目建设不会提高水、土地、矿产资源消耗强度。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（2）本项目为卫姚安县保健院妇婴医院住院综合楼建设项目，项目建设不会提高水资源消耗强度。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（3）本项目为姚安县保健院妇婴医院住院综合楼建设项目，项目建设新增占地为姚安县自然资源局划拨的医院用地。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（4）本项目为姚安县保健院妇婴医院住院综合楼建设项目，项目建设不增加能耗。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（5）本项目为姚安县保健院妇婴医院住院综合楼建设项目，不属于石化、化工、有色金属冶炼等行业。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（6）本项目为姚安县保健院妇婴医院住院综合楼建设项目，不涉及流域生态用水。</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表1-3  楚雄州优先保护单元、一般管控单元生态环境准入清单</w:t>
            </w:r>
          </w:p>
          <w:tbl>
            <w:tblPr>
              <w:tblStyle w:val="38"/>
              <w:tblW w:w="7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16"/>
              <w:gridCol w:w="2931"/>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市县</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单元名称</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管控要求</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各市县优先保护单元</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生态保护红线优先保护单元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原则上按照禁止开发区进行管理，生态保护红线相关管控办法出台后，依据其管理规定执行。</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本项目为姚安县保健院妇婴医院住院综合楼建设项目，项目符合生态保护红线相关管控办法</w:t>
                  </w:r>
                  <w:r>
                    <w:rPr>
                      <w:rFonts w:hint="eastAsia" w:eastAsia="宋体" w:cs="Times New Roman"/>
                      <w:b w:val="0"/>
                      <w:bCs w:val="0"/>
                      <w:color w:val="auto"/>
                      <w:spacing w:val="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一般生态空间优先保护单元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（1）执行《云南省人民政府关于实施“ 三线一单”生态环境分区管控的意见》。原则上按照限制开发区域的要求进行管理，严格限制大规模开发建设活动。以保护和修复生态环境、提供生态产品为首要任务，因地制宜地发展不影响主体功能定位的产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未纳入生态保护红线的各类自然保护地按照相关法律法规规定进行管控；重要湿地依据《湿地保护管理规定》、《国务院办公厅关于印发湿地保护修复制度方案的通知》、《云南省湿地保护条例》、《云南省人民政府关于加强湿地保护工作的意见》等进行管理；生态公益林依据《国家级公益林管理办法》、《云南省地方公益林管理办法》进行管理；天然林依据《国家林业局关于严格保护天然林的通知》（林资发〔2015〕181 号）、《天然林保护修复制度方案》的通知（厅字〔2019〕39 号）等进行管理；基本草原依据《中华人民共和国草原法》进行管理。</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（1）本项目为姚安县保健院妇婴医院住院综合楼建设项目，项目符合生态保护红线相关管控办法。</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不属于</w:t>
                  </w:r>
                  <w:r>
                    <w:rPr>
                      <w:rFonts w:hint="default" w:ascii="Times New Roman" w:hAnsi="Times New Roman" w:eastAsia="宋体" w:cs="Times New Roman"/>
                      <w:b w:val="0"/>
                      <w:bCs w:val="0"/>
                      <w:color w:val="auto"/>
                      <w:spacing w:val="0"/>
                      <w:kern w:val="2"/>
                      <w:sz w:val="21"/>
                      <w:szCs w:val="21"/>
                      <w:lang w:val="en-US" w:eastAsia="zh-CN" w:bidi="ar"/>
                    </w:rPr>
                    <w:t>自然保护地、重要湿地、生态公益林及基本草原范围内。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饮用水源地优先保护单元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依据《中华人民共和国水污染防治法》、《饮用水水源保护区污染防治管理规定》进行管理。</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eastAsiaTheme="minorEastAsia"/>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不在饮用水源地保护范围内。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各市县一般保护单元</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空间布局约束</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落实生态环境保护基本要求，项目建设和运行应满足产业准入、总量控制、排放标准等管理规定和国家法律法规要求。</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cs="Times New Roman"/>
                      <w:color w:val="auto"/>
                      <w:spacing w:val="0"/>
                      <w:kern w:val="2"/>
                      <w:sz w:val="21"/>
                      <w:szCs w:val="21"/>
                      <w:u w:val="none"/>
                      <w:lang w:val="en-US" w:eastAsia="zh-CN"/>
                    </w:rPr>
                    <w:t>项目建设和运行符合</w:t>
                  </w:r>
                  <w:r>
                    <w:rPr>
                      <w:rFonts w:hint="default" w:ascii="Times New Roman" w:hAnsi="Times New Roman" w:eastAsia="宋体" w:cs="Times New Roman"/>
                      <w:b w:val="0"/>
                      <w:bCs w:val="0"/>
                      <w:color w:val="auto"/>
                      <w:spacing w:val="0"/>
                      <w:kern w:val="2"/>
                      <w:sz w:val="21"/>
                      <w:szCs w:val="21"/>
                      <w:lang w:val="en-US" w:eastAsia="zh-CN" w:bidi="ar"/>
                    </w:rPr>
                    <w:t>产业准入、总量控制、排放标准等管理规定和国家法律法规要求。</w:t>
                  </w:r>
                </w:p>
              </w:tc>
            </w:tr>
          </w:tbl>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本项目不属于高污染、高能耗和资源型的产业类型。根据国家发展改革委、商务部关于印发《市场准入负面清单（2019 年版）》的通知，本项目不在《市场准入负面清单（2019 年版）》范围内。属于《产业结构调整指导目录（2019 年本）》规定中鼓励类项目（第三十七款“卫生健康”中第5条医疗卫生服务设施建设）。因此，本项目的建设符合国家有关产业政策。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表1-4  产业政策禁止准入清单</w:t>
            </w:r>
          </w:p>
          <w:tbl>
            <w:tblPr>
              <w:tblStyle w:val="38"/>
              <w:tblW w:w="7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848"/>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不符合产业政策类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禁止新建、扩建国家或云南省淘汰类和限制类产业，禁止新建、扩建企业使用淘汰类和限制类工艺或设备，禁止生产、进口、销售不符合产业政策、生态环保标准的产品</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本项目符合国家产业政策，生产设备和工艺均不是淘汰和限制类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不符合用地政策类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禁止建设《禁止用地项目目录》中的产业或项目；禁止建设不符合土地利用规划的项目</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本项目不属于《禁止用地项目目录》中的项目，用地为建设用地，符合土地利用规划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不符合规划类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禁止发展不符园区产业规划的产业，禁止不符合园产业局的项目，禁止不符合园区环境保护目标的产业</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表1-5  资源环境条件禁止准入清单</w:t>
            </w:r>
          </w:p>
          <w:tbl>
            <w:tblPr>
              <w:tblStyle w:val="38"/>
              <w:tblW w:w="7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416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资源限制类</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禁止占用基本农田；禁止不符合国家水资源利用政策的产业；禁止占用大量森林资源</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本项目不占用基本农田，用水为自来水，不占用森林资源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环境制约类</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禁止污染物放总量突破区域环境质量底线；禁止不符合环境保护可行性技术的产业；禁止污物超标排放</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本项目污染物经采取治理措施后均能达标排放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石油炼化、石化下游产业用地周边1.5km和钢铁冶金用地周边1.2km的绿化隔离带内，禁止布局长期居住居民和对环境要求较高的制药、食品、生物等产业，限制农业种植和养殖业发展</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本项目不属于石油炼化及钢铁冶金业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lang w:eastAsia="zh-CN"/>
              </w:rPr>
              <w:t>（</w:t>
            </w:r>
            <w:r>
              <w:rPr>
                <w:rFonts w:hint="default" w:ascii="Times New Roman" w:hAnsi="Times New Roman" w:cs="Times New Roman"/>
                <w:color w:val="auto"/>
                <w:spacing w:val="0"/>
                <w:kern w:val="2"/>
                <w:lang w:val="en-US" w:eastAsia="zh-CN"/>
              </w:rPr>
              <w:t>5</w:t>
            </w:r>
            <w:r>
              <w:rPr>
                <w:rFonts w:hint="default" w:ascii="Times New Roman" w:hAnsi="Times New Roman" w:cs="Times New Roman"/>
                <w:color w:val="auto"/>
                <w:spacing w:val="0"/>
                <w:kern w:val="2"/>
                <w:lang w:eastAsia="zh-CN"/>
              </w:rPr>
              <w:t>）</w:t>
            </w:r>
            <w:r>
              <w:rPr>
                <w:rFonts w:hint="default" w:ascii="Times New Roman" w:hAnsi="Times New Roman" w:cs="Times New Roman"/>
                <w:color w:val="auto"/>
                <w:spacing w:val="0"/>
                <w:kern w:val="2"/>
                <w:lang w:val="en-US" w:eastAsia="zh-CN"/>
              </w:rPr>
              <w:t>限制准入清单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表1-6  生态保护红线限制准入清单</w:t>
            </w:r>
          </w:p>
          <w:tbl>
            <w:tblPr>
              <w:tblStyle w:val="38"/>
              <w:tblW w:w="6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2455"/>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24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53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国家生态公益林</w:t>
                  </w:r>
                </w:p>
              </w:tc>
              <w:tc>
                <w:tcPr>
                  <w:tcW w:w="245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除家和省的重点建设项目、管理与服务设施外，其他建设项目须避让前述区域，严禁进行</w:t>
                  </w:r>
                </w:p>
              </w:tc>
              <w:tc>
                <w:tcPr>
                  <w:tcW w:w="2537"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本项目位于云南省楚雄州姚安县栋川镇下栖霞路与</w:t>
                  </w:r>
                  <w:r>
                    <w:rPr>
                      <w:rFonts w:hint="eastAsia" w:eastAsia="宋体" w:cs="Times New Roman"/>
                      <w:b w:val="0"/>
                      <w:bCs w:val="0"/>
                      <w:color w:val="auto"/>
                      <w:spacing w:val="0"/>
                      <w:kern w:val="2"/>
                      <w:sz w:val="21"/>
                      <w:szCs w:val="21"/>
                      <w:lang w:val="en-US" w:eastAsia="zh-CN" w:bidi="ar"/>
                    </w:rPr>
                    <w:t>春晖路</w:t>
                  </w:r>
                  <w:r>
                    <w:rPr>
                      <w:rFonts w:hint="default" w:ascii="Times New Roman" w:hAnsi="Times New Roman" w:eastAsia="宋体" w:cs="Times New Roman"/>
                      <w:b w:val="0"/>
                      <w:bCs w:val="0"/>
                      <w:color w:val="auto"/>
                      <w:spacing w:val="0"/>
                      <w:kern w:val="2"/>
                      <w:sz w:val="21"/>
                      <w:szCs w:val="21"/>
                      <w:lang w:val="en-US" w:eastAsia="zh-CN" w:bidi="ar"/>
                    </w:rPr>
                    <w:t>交汇口西处，属于城镇建成区，不在限制准入区内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国有林</w:t>
                  </w:r>
                </w:p>
              </w:tc>
              <w:tc>
                <w:tcPr>
                  <w:tcW w:w="245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p>
              </w:tc>
              <w:tc>
                <w:tcPr>
                  <w:tcW w:w="25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螳螂川、禄裱河、九龙河、九渡河等 河流滨岸带</w:t>
                  </w:r>
                </w:p>
              </w:tc>
              <w:tc>
                <w:tcPr>
                  <w:tcW w:w="2455" w:type="dxa"/>
                  <w:vMerge w:val="continue"/>
                  <w:vAlign w:val="center"/>
                </w:tcPr>
                <w:p>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25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未来省、市划定的其他限制准入生态保护红线区</w:t>
                  </w:r>
                </w:p>
              </w:tc>
              <w:tc>
                <w:tcPr>
                  <w:tcW w:w="24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禁止建设与生态保护红线区保护目标不一致的工程</w:t>
                  </w:r>
                </w:p>
              </w:tc>
              <w:tc>
                <w:tcPr>
                  <w:tcW w:w="253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表1-7 产业政策限制准入清单</w:t>
            </w:r>
          </w:p>
          <w:tbl>
            <w:tblPr>
              <w:tblStyle w:val="38"/>
              <w:tblW w:w="7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859"/>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石化及其下游产业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根据石化下游产业项目环境影响评价结果，控制石油炼化及下游产业发展规模，优化石化下游产业布局；严格控制产业SO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、NOx、硫化氢、苯系物、非甲烷总等污染物排放总量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鏻盐化工产业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控制磷化工产业发展规模，新增产能需做到增产不增污；严格控制企业废水COD、氨氮、总磷、氟化物等排放总量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钢铁产业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需符合国家产业政策，严格控制产业SO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、NOx、苯并芘、氟化物、硫化氢等大气污染物 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机械加工及汽车制造</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严格按家产业政策进行管理，严控产排含重金属废气、废水项目引入，禁止发展不能实现挥发性有机物等细颗粒物前体物排放倍量削减建设项目</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建材及循环产业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严格按国家产业政策进行管理，按园区规划进行合理布局，严格控制SO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、NOx、粉尘、氟化物等污染物排放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本项目不涉及以上污染物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轻型加工制造业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严格控制产业布局，严格控制企业废水排放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高新技术产业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严格控制产业布，严格控制涉重企业染物排放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bl>
          <w:p>
            <w:pPr>
              <w:keepNext w:val="0"/>
              <w:keepLines w:val="0"/>
              <w:widowControl/>
              <w:numPr>
                <w:ilvl w:val="0"/>
                <w:numId w:val="1"/>
              </w:numPr>
              <w:suppressLineNumbers w:val="0"/>
              <w:spacing w:line="360" w:lineRule="auto"/>
              <w:jc w:val="left"/>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本项目与“楚雄州重点管控单元生态环境准人清单—姚安县”符合性分析</w:t>
            </w:r>
          </w:p>
          <w:p>
            <w:pPr>
              <w:keepNext w:val="0"/>
              <w:keepLines w:val="0"/>
              <w:widowControl/>
              <w:numPr>
                <w:ilvl w:val="0"/>
                <w:numId w:val="0"/>
              </w:numPr>
              <w:suppressLineNumbers w:val="0"/>
              <w:spacing w:line="360" w:lineRule="auto"/>
              <w:ind w:left="0" w:leftChars="0" w:right="0" w:rightChars="0" w:firstLine="0" w:firstLineChars="0"/>
              <w:jc w:val="center"/>
              <w:rPr>
                <w:rFonts w:hint="default" w:ascii="Times New Roman" w:hAnsi="Times New Roman" w:cs="Times New Roman"/>
                <w:b/>
                <w:color w:val="auto"/>
                <w:spacing w:val="0"/>
                <w:kern w:val="2"/>
                <w:sz w:val="21"/>
                <w:szCs w:val="21"/>
              </w:rPr>
            </w:pPr>
            <w:r>
              <w:rPr>
                <w:rFonts w:hint="default" w:ascii="Times New Roman" w:hAnsi="Times New Roman" w:cs="Times New Roman"/>
                <w:b/>
                <w:color w:val="auto"/>
                <w:spacing w:val="0"/>
                <w:kern w:val="2"/>
                <w:sz w:val="21"/>
                <w:szCs w:val="21"/>
              </w:rPr>
              <w:t>表1-</w:t>
            </w:r>
            <w:r>
              <w:rPr>
                <w:rFonts w:hint="eastAsia" w:cs="Times New Roman"/>
                <w:b/>
                <w:color w:val="auto"/>
                <w:spacing w:val="0"/>
                <w:kern w:val="2"/>
                <w:sz w:val="21"/>
                <w:szCs w:val="21"/>
                <w:lang w:val="en-US" w:eastAsia="zh-CN"/>
              </w:rPr>
              <w:t>8</w:t>
            </w:r>
            <w:r>
              <w:rPr>
                <w:rFonts w:hint="default" w:ascii="Times New Roman" w:hAnsi="Times New Roman" w:cs="Times New Roman"/>
                <w:b/>
                <w:color w:val="auto"/>
                <w:spacing w:val="0"/>
                <w:kern w:val="2"/>
                <w:sz w:val="21"/>
                <w:szCs w:val="21"/>
              </w:rPr>
              <w:t xml:space="preserve"> 与“楚雄州重点管控单元生态环境准人清单—姚安县”符合性分析</w:t>
            </w:r>
          </w:p>
          <w:tbl>
            <w:tblPr>
              <w:tblStyle w:val="37"/>
              <w:tblW w:w="7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72"/>
              <w:gridCol w:w="3555"/>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39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b/>
                      <w:color w:val="auto"/>
                      <w:spacing w:val="0"/>
                      <w:kern w:val="2"/>
                      <w:sz w:val="21"/>
                      <w:szCs w:val="21"/>
                      <w:lang w:val="en-US"/>
                    </w:rPr>
                  </w:pPr>
                  <w:r>
                    <w:rPr>
                      <w:rFonts w:hint="default" w:ascii="Times New Roman" w:hAnsi="Times New Roman" w:cs="Times New Roman"/>
                      <w:b/>
                      <w:color w:val="auto"/>
                      <w:spacing w:val="0"/>
                      <w:kern w:val="2"/>
                      <w:sz w:val="21"/>
                      <w:szCs w:val="21"/>
                      <w:lang w:val="en-US"/>
                    </w:rPr>
                    <w:t>单元名称</w:t>
                  </w:r>
                </w:p>
              </w:tc>
              <w:tc>
                <w:tcPr>
                  <w:tcW w:w="392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b/>
                      <w:color w:val="auto"/>
                      <w:spacing w:val="0"/>
                      <w:kern w:val="2"/>
                      <w:sz w:val="21"/>
                      <w:szCs w:val="21"/>
                      <w:lang w:val="en-US"/>
                    </w:rPr>
                  </w:pPr>
                  <w:r>
                    <w:rPr>
                      <w:rFonts w:hint="default" w:ascii="Times New Roman" w:hAnsi="Times New Roman" w:cs="Times New Roman"/>
                      <w:b/>
                      <w:color w:val="auto"/>
                      <w:spacing w:val="0"/>
                      <w:kern w:val="2"/>
                      <w:sz w:val="21"/>
                      <w:szCs w:val="21"/>
                      <w:lang w:val="en-US"/>
                    </w:rPr>
                    <w:t>管控要求</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eastAsia" w:ascii="Times New Roman" w:hAnsi="Times New Roman" w:cs="Times New Roman" w:eastAsiaTheme="minorEastAsia"/>
                      <w:b/>
                      <w:color w:val="auto"/>
                      <w:spacing w:val="0"/>
                      <w:kern w:val="2"/>
                      <w:sz w:val="21"/>
                      <w:szCs w:val="21"/>
                      <w:lang w:val="en-US" w:eastAsia="zh-CN"/>
                    </w:rPr>
                  </w:pPr>
                  <w:r>
                    <w:rPr>
                      <w:rFonts w:hint="default" w:ascii="Times New Roman" w:hAnsi="Times New Roman" w:cs="Times New Roman"/>
                      <w:b/>
                      <w:color w:val="auto"/>
                      <w:spacing w:val="0"/>
                      <w:kern w:val="2"/>
                      <w:sz w:val="21"/>
                      <w:szCs w:val="21"/>
                      <w:lang w:val="en-US"/>
                    </w:rPr>
                    <w:t>本项目</w:t>
                  </w:r>
                  <w:r>
                    <w:rPr>
                      <w:rFonts w:hint="eastAsia" w:ascii="Times New Roman" w:hAnsi="Times New Roman" w:cs="Times New Roman"/>
                      <w:b/>
                      <w:color w:val="auto"/>
                      <w:spacing w:val="0"/>
                      <w:kern w:val="2"/>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9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姚安县工业集中区重点管控单元</w:t>
                  </w: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空间布局约束</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以大气污染为特征的项目进入工业集中区，其环境影响评价文件应将大气环境影响评价作为重点之一，深入分析项目入驻对区域大气环境的影响，明确环境空气污染防治措施并严格落实，要求作出明确的环境是否可行的结论。现有不符合要求的企业应逐步调整搬迁至适宜片区，或设置适宜的防护距离。</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2.在对有重大影响的项目的跟踪评价中，应对区域环境空气质量作重点回顾性评价，分析说明环境空气质量变化趋势，并提出必要的补救措施。</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1.</w:t>
                  </w:r>
                  <w:r>
                    <w:rPr>
                      <w:rFonts w:hint="default" w:ascii="Times New Roman" w:hAnsi="Times New Roman" w:cs="Times New Roman"/>
                      <w:color w:val="auto"/>
                      <w:spacing w:val="0"/>
                      <w:kern w:val="2"/>
                      <w:sz w:val="21"/>
                      <w:szCs w:val="21"/>
                      <w:lang w:val="en-US"/>
                    </w:rPr>
                    <w:t>本项目为</w:t>
                  </w:r>
                  <w:r>
                    <w:rPr>
                      <w:rFonts w:hint="default" w:ascii="Times New Roman" w:hAnsi="Times New Roman" w:cs="Times New Roman"/>
                      <w:color w:val="auto"/>
                      <w:spacing w:val="0"/>
                      <w:kern w:val="2"/>
                      <w:sz w:val="21"/>
                      <w:szCs w:val="21"/>
                    </w:rPr>
                    <w:t>姚安县保健院妇婴医院住院综合楼建设项目</w:t>
                  </w:r>
                  <w:r>
                    <w:rPr>
                      <w:rFonts w:hint="default" w:ascii="Times New Roman" w:hAnsi="Times New Roman" w:cs="Times New Roman"/>
                      <w:color w:val="auto"/>
                      <w:spacing w:val="0"/>
                      <w:kern w:val="2"/>
                      <w:sz w:val="21"/>
                      <w:szCs w:val="21"/>
                      <w:lang w:val="en-US"/>
                    </w:rPr>
                    <w:t>，大气污染物</w:t>
                  </w:r>
                  <w:r>
                    <w:rPr>
                      <w:rFonts w:hint="eastAsia" w:ascii="Times New Roman" w:hAnsi="Times New Roman" w:cs="Times New Roman"/>
                      <w:color w:val="auto"/>
                      <w:spacing w:val="0"/>
                      <w:kern w:val="2"/>
                      <w:sz w:val="21"/>
                      <w:szCs w:val="21"/>
                      <w:lang w:val="en-US" w:eastAsia="zh-CN"/>
                    </w:rPr>
                    <w:t>主要是污水处理站周围产生的废气，经</w:t>
                  </w:r>
                  <w:r>
                    <w:rPr>
                      <w:rFonts w:hint="default" w:ascii="Times New Roman" w:hAnsi="Times New Roman" w:cs="Times New Roman"/>
                      <w:color w:val="auto"/>
                      <w:spacing w:val="0"/>
                      <w:kern w:val="2"/>
                      <w:sz w:val="21"/>
                      <w:szCs w:val="21"/>
                      <w:lang w:val="en-US"/>
                    </w:rPr>
                    <w:t>处理后可达标排放</w:t>
                  </w:r>
                  <w:r>
                    <w:rPr>
                      <w:rFonts w:hint="eastAsia" w:ascii="Times New Roman" w:hAnsi="Times New Roman" w:cs="Times New Roman"/>
                      <w:color w:val="auto"/>
                      <w:spacing w:val="0"/>
                      <w:kern w:val="2"/>
                      <w:sz w:val="21"/>
                      <w:szCs w:val="21"/>
                      <w:lang w:val="en-US" w:eastAsia="zh-CN"/>
                    </w:rPr>
                    <w:t>，项目不产生特征大气污染物。</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2.本项目为姚安县保健院妇婴医院住院综合楼建设项目，项目运营期产生的污染物经过相应的环保措施处理后，对周围环境影响较小。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污染物排放管控</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1.在工业集中区各企业中推广“闭路循环用水”、“中水回用”的用水方式，提高工业用水循环使用率。</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2.禁止生产废水、生活污水未经处理直接排入周围地表水体。</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现有各企业的生产生活废污水自行处理后优先回用，剩余废污水达标排放至蜻蛉河。工业集中区污水处理厂建成后，废污水由各企业自行处理达到《污水综合排放标准》(GB8978-1996)三级标准及《污水排入城镇下水道水质标准》(GB/T 31962-2015)后排入污水处理厂，出水水质标准达到《城镇污水处理厂污染物排放标准》(GB18918-2002)一级A标准后部分回用，剩余部分经湿地降解污染后排入蜻蛉河。凡涉及排放第一类污染物者，在车间或工段排放口执行一类污染物排放标准。</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4.向大气排放烟尘、粉尘、二氧化硫、氮氧化物的排污单位，需采取除尘、脱硫、除硝措施，确保达标排放，达标排放率达100%。现有及新改扩建工业企业必须采取新工艺、新技术，提高综合利用，减少废气的排放，禁止高耗能、重污染的企业进入。</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1.</w:t>
                  </w:r>
                  <w:r>
                    <w:rPr>
                      <w:rFonts w:hint="default" w:ascii="Times New Roman" w:hAnsi="Times New Roman" w:cs="Times New Roman"/>
                      <w:color w:val="auto"/>
                      <w:spacing w:val="0"/>
                      <w:kern w:val="2"/>
                      <w:sz w:val="21"/>
                      <w:szCs w:val="21"/>
                      <w:lang w:val="en-US"/>
                    </w:rPr>
                    <w:t>本项目</w:t>
                  </w:r>
                  <w:r>
                    <w:rPr>
                      <w:rFonts w:hint="eastAsia" w:ascii="Times New Roman" w:hAnsi="Times New Roman" w:cs="Times New Roman"/>
                      <w:color w:val="auto"/>
                      <w:spacing w:val="0"/>
                      <w:kern w:val="2"/>
                      <w:sz w:val="21"/>
                      <w:szCs w:val="21"/>
                      <w:lang w:val="en-US" w:eastAsia="zh-CN"/>
                    </w:rPr>
                    <w:t>建设地点位于姚安县栋川镇下栖霞路与春晖路交汇口西处，不在工业区内。</w:t>
                  </w:r>
                </w:p>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2.项目产生的废水经一体化污水处理设施处理达标后沿市政管网排入姚安县污水处理厂，不直接外排到周围水体。</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eastAsia" w:ascii="Times New Roman" w:hAnsi="Times New Roman" w:cs="Times New Roman"/>
                      <w:color w:val="auto"/>
                      <w:spacing w:val="0"/>
                      <w:kern w:val="2"/>
                      <w:sz w:val="21"/>
                      <w:szCs w:val="21"/>
                      <w:lang w:val="en-US" w:eastAsia="zh-CN"/>
                    </w:rPr>
                    <w:t>3.本项目为新建项目，项目位于建城区，周围污水市政管网完备，污水经处理达标后可进入姚安县污水市政管网。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环境风险防控</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1.设置合理的环境防护距离，作为工业企业与周围居民区以及学校等公共设施的控制间距。</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所有危险废物必须委托有资质单位处置，对于涉及危险废物的工业企业，要求建设规范的危险废物暂存场所，并集中规划布局可能产生危险废物的企业。产生含危险废物的企业，在贮存、转移危险废物过程中，应配套防扬散、防流失、防渗漏及其他防止污染环境的措施。</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3.涉及有毒有害和易燃易爆物质的使用、贮运等的工业项目，其环评报告书必须进行环境风险评价，并按照环评报告书提出的环境风险防范措施要求及审批要求落实在项目中。</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4.为防止环境纠纷和环境危害，应编制切实可行的移民安置方案，妥善解决工业集中区涉及到的移民安置问题。</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eastAsia="zh-CN"/>
                    </w:rPr>
                  </w:pPr>
                  <w:r>
                    <w:rPr>
                      <w:rFonts w:hint="default" w:ascii="Times New Roman" w:hAnsi="Times New Roman" w:cs="Times New Roman"/>
                      <w:color w:val="auto"/>
                      <w:spacing w:val="0"/>
                      <w:kern w:val="2"/>
                      <w:sz w:val="21"/>
                      <w:szCs w:val="21"/>
                      <w:lang w:val="en-US"/>
                    </w:rPr>
                    <w:t>1.本项目位于位于姚安县栋川镇下栖霞路与春晖路交汇口西处</w:t>
                  </w:r>
                  <w:r>
                    <w:rPr>
                      <w:rFonts w:hint="eastAsia" w:ascii="Times New Roman" w:hAnsi="Times New Roman" w:cs="Times New Roman"/>
                      <w:color w:val="auto"/>
                      <w:spacing w:val="0"/>
                      <w:kern w:val="2"/>
                      <w:sz w:val="21"/>
                      <w:szCs w:val="21"/>
                      <w:lang w:val="en-US" w:eastAsia="zh-CN"/>
                    </w:rPr>
                    <w:t>，周围无学校，居民区距离本项目最近距离为65米。</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2.项目拟建</w:t>
                  </w:r>
                  <w:r>
                    <w:rPr>
                      <w:rFonts w:hint="eastAsia" w:ascii="Times New Roman" w:hAnsi="Times New Roman" w:cs="Times New Roman"/>
                      <w:color w:val="auto"/>
                      <w:spacing w:val="0"/>
                      <w:kern w:val="2"/>
                      <w:sz w:val="21"/>
                      <w:szCs w:val="21"/>
                      <w:lang w:val="en-US" w:eastAsia="zh-CN"/>
                    </w:rPr>
                    <w:t>医疗废物</w:t>
                  </w:r>
                  <w:r>
                    <w:rPr>
                      <w:rFonts w:hint="default" w:ascii="Times New Roman" w:hAnsi="Times New Roman" w:cs="Times New Roman"/>
                      <w:color w:val="auto"/>
                      <w:spacing w:val="0"/>
                      <w:kern w:val="2"/>
                      <w:sz w:val="21"/>
                      <w:szCs w:val="21"/>
                      <w:lang w:val="en-US"/>
                    </w:rPr>
                    <w:t>暂存间1间，试运行前签订危废处置协议，医疗废物收集、储存、转运、处置等环节严格管理，禁止危废随意处置；</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3.本项目不涉及有毒有害和易燃易爆物质的使用、贮运，本环评将针对医疗废物等环境风险物质提出具体的环境风险防范措施；4.本项目位于姚安县栋川镇下栖霞路与春晖路交汇口西处，不涉及移民安置问题。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资源开发效率要求</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1.严格控制高耗水产业项目的建设，推进可接纳光禄镇生活污水的工业集中区污水处理厂建设，努力提高工业用水重复利用率、中水回用率等环保指标。</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新改扩建工业企业应能够满足资源节约的原则，单位产品或单位产值的水耗不高于行业标准，其用水效率、再生水利用率满足行业规范条件。单位产品能耗、物耗水平应必须达到国内一般水平，鼓励企业资源能源消耗水平达到国内先进水平。</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1.本项目为</w:t>
                  </w:r>
                  <w:r>
                    <w:rPr>
                      <w:rFonts w:hint="default" w:ascii="Times New Roman" w:hAnsi="Times New Roman" w:cs="Times New Roman"/>
                      <w:color w:val="auto"/>
                      <w:spacing w:val="0"/>
                      <w:kern w:val="2"/>
                      <w:sz w:val="21"/>
                      <w:szCs w:val="21"/>
                    </w:rPr>
                    <w:t>姚安县保健院妇婴医院住院综合楼建设项目</w:t>
                  </w:r>
                  <w:r>
                    <w:rPr>
                      <w:rFonts w:hint="default" w:ascii="Times New Roman" w:hAnsi="Times New Roman" w:cs="Times New Roman"/>
                      <w:color w:val="auto"/>
                      <w:spacing w:val="0"/>
                      <w:kern w:val="2"/>
                      <w:sz w:val="21"/>
                      <w:szCs w:val="21"/>
                      <w:lang w:val="en-US"/>
                    </w:rPr>
                    <w:t>，属于</w:t>
                  </w:r>
                  <w:r>
                    <w:rPr>
                      <w:rFonts w:hint="eastAsia" w:ascii="Times New Roman" w:hAnsi="Times New Roman" w:cs="Times New Roman"/>
                      <w:color w:val="auto"/>
                      <w:spacing w:val="0"/>
                      <w:kern w:val="2"/>
                      <w:sz w:val="21"/>
                      <w:szCs w:val="21"/>
                      <w:lang w:val="en-US" w:eastAsia="zh-CN"/>
                    </w:rPr>
                    <w:t>医疗卫生行业</w:t>
                  </w:r>
                  <w:r>
                    <w:rPr>
                      <w:rFonts w:hint="default" w:ascii="Times New Roman" w:hAnsi="Times New Roman" w:cs="Times New Roman"/>
                      <w:color w:val="auto"/>
                      <w:spacing w:val="0"/>
                      <w:kern w:val="2"/>
                      <w:sz w:val="21"/>
                      <w:szCs w:val="21"/>
                      <w:lang w:val="en-US"/>
                    </w:rPr>
                    <w:t>，不属于高耗水产业项目；</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2.本项目</w:t>
                  </w:r>
                  <w:r>
                    <w:rPr>
                      <w:rFonts w:hint="eastAsia" w:ascii="Times New Roman" w:hAnsi="Times New Roman" w:cs="Times New Roman"/>
                      <w:color w:val="auto"/>
                      <w:spacing w:val="0"/>
                      <w:kern w:val="2"/>
                      <w:sz w:val="21"/>
                      <w:szCs w:val="21"/>
                      <w:lang w:val="en-US" w:eastAsia="zh-CN"/>
                    </w:rPr>
                    <w:t>提倡节约用水</w:t>
                  </w:r>
                  <w:r>
                    <w:rPr>
                      <w:rFonts w:hint="default" w:ascii="Times New Roman" w:hAnsi="Times New Roman" w:cs="Times New Roman"/>
                      <w:color w:val="auto"/>
                      <w:spacing w:val="0"/>
                      <w:kern w:val="2"/>
                      <w:sz w:val="21"/>
                      <w:szCs w:val="21"/>
                      <w:lang w:val="en-US"/>
                    </w:rPr>
                    <w:t>，由市政给水管网供给。</w:t>
                  </w:r>
                </w:p>
              </w:tc>
            </w:tr>
          </w:tbl>
          <w:p>
            <w:pPr>
              <w:keepNext w:val="0"/>
              <w:keepLines w:val="0"/>
              <w:widowControl/>
              <w:suppressLineNumbers w:val="0"/>
              <w:spacing w:line="360" w:lineRule="auto"/>
              <w:jc w:val="left"/>
              <w:rPr>
                <w:rFonts w:hint="default" w:ascii="Times New Roman" w:hAnsi="Times New Roman" w:cs="Times New Roman"/>
                <w:b/>
                <w:color w:val="auto"/>
                <w:spacing w:val="0"/>
                <w:kern w:val="2"/>
              </w:rPr>
            </w:pPr>
            <w:r>
              <w:rPr>
                <w:rFonts w:hint="eastAsia" w:cs="Times New Roman"/>
                <w:b/>
                <w:color w:val="auto"/>
                <w:spacing w:val="0"/>
                <w:kern w:val="2"/>
                <w:lang w:val="en-US" w:eastAsia="zh-CN"/>
              </w:rPr>
              <w:t>3、</w:t>
            </w:r>
            <w:r>
              <w:rPr>
                <w:rFonts w:hint="default" w:ascii="Times New Roman" w:hAnsi="Times New Roman" w:cs="Times New Roman"/>
                <w:b/>
                <w:color w:val="auto"/>
                <w:spacing w:val="0"/>
                <w:kern w:val="2"/>
                <w:lang w:val="en-US" w:eastAsia="zh-CN"/>
              </w:rPr>
              <w:t>与《云南省长江经济带发展负面清单指南（试行）》符合性分析</w:t>
            </w:r>
          </w:p>
          <w:p>
            <w:pPr>
              <w:spacing w:line="360" w:lineRule="auto"/>
              <w:ind w:left="0" w:leftChars="0" w:firstLine="0" w:firstLineChars="0"/>
              <w:jc w:val="center"/>
              <w:rPr>
                <w:rFonts w:hint="default" w:ascii="Times New Roman" w:hAnsi="Times New Roman" w:cs="Times New Roman"/>
                <w:b/>
                <w:bCs/>
                <w:color w:val="auto"/>
                <w:spacing w:val="0"/>
                <w:kern w:val="2"/>
                <w:sz w:val="21"/>
                <w:szCs w:val="21"/>
                <w:lang w:val="en-US" w:eastAsia="zh-CN"/>
              </w:rPr>
            </w:pPr>
            <w:r>
              <w:rPr>
                <w:rFonts w:hint="default" w:ascii="Times New Roman" w:hAnsi="Times New Roman" w:cs="Times New Roman"/>
                <w:b/>
                <w:bCs/>
                <w:color w:val="auto"/>
                <w:spacing w:val="0"/>
                <w:kern w:val="2"/>
                <w:sz w:val="21"/>
                <w:szCs w:val="21"/>
                <w:lang w:val="en-US" w:eastAsia="zh-CN"/>
              </w:rPr>
              <w:t>表1</w:t>
            </w:r>
            <w:r>
              <w:rPr>
                <w:rFonts w:hint="eastAsia" w:cs="Times New Roman"/>
                <w:b/>
                <w:bCs/>
                <w:color w:val="auto"/>
                <w:spacing w:val="0"/>
                <w:kern w:val="2"/>
                <w:sz w:val="21"/>
                <w:szCs w:val="21"/>
                <w:lang w:val="en-US" w:eastAsia="zh-CN"/>
              </w:rPr>
              <w:t>-9</w:t>
            </w:r>
            <w:r>
              <w:rPr>
                <w:rFonts w:hint="default" w:ascii="Times New Roman" w:hAnsi="Times New Roman" w:cs="Times New Roman"/>
                <w:b/>
                <w:bCs/>
                <w:color w:val="auto"/>
                <w:spacing w:val="0"/>
                <w:kern w:val="2"/>
                <w:sz w:val="21"/>
                <w:szCs w:val="21"/>
                <w:lang w:val="en-US" w:eastAsia="zh-CN"/>
              </w:rPr>
              <w:t xml:space="preserve"> 长江经济带发展负面清单</w:t>
            </w:r>
          </w:p>
          <w:tbl>
            <w:tblPr>
              <w:tblStyle w:val="38"/>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730"/>
              <w:gridCol w:w="317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序号</w:t>
                  </w:r>
                </w:p>
              </w:tc>
              <w:tc>
                <w:tcPr>
                  <w:tcW w:w="2730" w:type="dxa"/>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长江经济带发展负面清单</w:t>
                  </w:r>
                </w:p>
              </w:tc>
              <w:tc>
                <w:tcPr>
                  <w:tcW w:w="317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本项目</w:t>
                  </w:r>
                </w:p>
              </w:tc>
              <w:tc>
                <w:tcPr>
                  <w:tcW w:w="809"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1</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禁止建设不符合全国和省级港口布局规划以及港口总体规划的码头项目，禁止建设不符合《长江干线过江通道布局规划》的过长江通道项目。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交汇口西处，属于城镇建成区，项目区不涉及全国和省级港口布局规划以及港口总体规划的码头项目，不涉及过长江通道项目。</w:t>
                  </w:r>
                </w:p>
              </w:tc>
              <w:tc>
                <w:tcPr>
                  <w:tcW w:w="809"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2</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交汇口西处，属于城镇建成区，项目区不涉及饮用水水源保护区、水功能一级区的保护区和保留区、自然保护区、世界文化和自然遗产地、 风景名胜区、地质公园、森林公园、重要湿地等。</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3</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交汇口西处，属于城镇建成区，项目区不涉及饮用水水源保护区、水功能一级、二级区的保护区和保留区</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4</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交汇口西处，属于城镇建成区，项目区不涉及水产种质资源保护区及国家湿地公园。</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5</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交汇口西处，属于城镇建成区，本项目所在不在《长江岸线保护和开发利用总体规划》划定的岸线保护区以及《全国重要江河湖泊水功能区划》划定的河段保护区、保留区内。</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6</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交汇口西处，属于城镇建成区，项目不在生态保护红线和永久基本农田范围内。</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7</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禁止在长江干支流 1公里范围内新建、扩建化工园区和化工项目。禁止在合规园区外新建、扩建钢铁、石化、化工、焦化、建材、有色等高污染项目。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本项目属于姚安县保健院妇婴医院住院综合楼建设项目，不属于化工项目，项目位于云南省楚雄州姚安县栋川镇下栖霞路与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8</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禁止新建、扩建不符合国家石化、现代煤化工等产业布局规划的项目。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本项目属于姚安县保健院妇婴医院住院综合楼建设项目，不属于石化、现代煤化工项目。</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9</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禁止新建、扩建法律法规和相关政策明令禁止的落后产能项目。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 xml:space="preserve">本项目不在《市场准入负面清单（2019 年版）》范围内。属于《产业结构调整指导目录（2019 年本）》规定中鼓励类项目（第三十七款“卫生健康”中第 5 条医疗卫生服务设施建设）。因此，本项目的建设符合国家有关产业政策 </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10</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禁止新建、扩建不符合国家产能置换要求的严重过剩产能行业的项目。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本项目属于姚安县保健院妇婴医院住院综合楼建设项目，本项目不在《市场准入负面清单（2019 年版）》范围内。属于《产业结构调整指导目录（2019 年本）》规定中鼓励类项目（第三十七款“卫生健康”中第 5 条医疗卫生服务设施建设）。因此，本项目的建设符合国家有关产业政策</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eastAsiaTheme="minorEastAsia"/>
                <w:color w:val="auto"/>
                <w:spacing w:val="0"/>
                <w:kern w:val="2"/>
                <w:lang w:val="en-US" w:eastAsia="zh-CN"/>
              </w:rPr>
              <w:t>根据表 1-</w:t>
            </w:r>
            <w:r>
              <w:rPr>
                <w:rFonts w:hint="eastAsia" w:cs="Times New Roman"/>
                <w:color w:val="auto"/>
                <w:spacing w:val="0"/>
                <w:kern w:val="2"/>
                <w:lang w:val="en-US" w:eastAsia="zh-CN"/>
              </w:rPr>
              <w:t>9</w:t>
            </w:r>
            <w:r>
              <w:rPr>
                <w:rFonts w:hint="default" w:ascii="Times New Roman" w:hAnsi="Times New Roman" w:cs="Times New Roman" w:eastAsiaTheme="minorEastAsia"/>
                <w:color w:val="auto"/>
                <w:spacing w:val="0"/>
                <w:kern w:val="2"/>
                <w:lang w:val="en-US" w:eastAsia="zh-CN"/>
              </w:rPr>
              <w:t xml:space="preserve"> 分析结果，本项目与《云南省长江经济带发展负 面清单指南（试行）》符合。</w:t>
            </w:r>
          </w:p>
          <w:p>
            <w:pPr>
              <w:pStyle w:val="18"/>
              <w:rPr>
                <w:rFonts w:hint="default"/>
                <w:b/>
                <w:bCs/>
                <w:color w:val="auto"/>
                <w:lang w:val="en-US" w:eastAsia="zh-CN"/>
              </w:rPr>
            </w:pPr>
            <w:r>
              <w:rPr>
                <w:rFonts w:hint="eastAsia"/>
                <w:b/>
                <w:bCs/>
                <w:color w:val="auto"/>
                <w:lang w:val="en-US" w:eastAsia="zh-CN"/>
              </w:rPr>
              <w:t>4、</w:t>
            </w:r>
            <w:r>
              <w:rPr>
                <w:rFonts w:hint="default"/>
                <w:b/>
                <w:bCs/>
                <w:color w:val="auto"/>
                <w:lang w:val="en-US" w:eastAsia="zh-CN"/>
              </w:rPr>
              <w:t>项目选址符合性分析</w:t>
            </w:r>
          </w:p>
          <w:p>
            <w:pPr>
              <w:spacing w:line="360" w:lineRule="auto"/>
              <w:ind w:firstLine="480"/>
              <w:rPr>
                <w:rFonts w:hint="default" w:ascii="Times New Roman" w:hAnsi="Times New Roman" w:cs="Times New Roman"/>
                <w:color w:val="auto"/>
                <w:spacing w:val="0"/>
                <w:kern w:val="2"/>
                <w:lang w:val="en-US" w:eastAsia="zh-CN"/>
              </w:rPr>
            </w:pPr>
            <w:r>
              <w:rPr>
                <w:rFonts w:hint="eastAsia" w:cs="Times New Roman"/>
                <w:color w:val="auto"/>
                <w:spacing w:val="0"/>
                <w:kern w:val="2"/>
                <w:lang w:val="en-US" w:eastAsia="zh-CN"/>
              </w:rPr>
              <w:t>本项目位于姚安县栋川镇下栖霞路与春晖路交汇口西处，南面为姚安县妇幼保健计划生育服务中心（姚安县妇幼保健院），姚安县妇幼保健计划生育服务中心可为本项目提供较好的技术支持。项目建设点交通便利，水、电、通讯等基础设施配套，项目建设条件较好。拟建场地地形规整，上空无高压输电线路通过，地下无预埋管线，供电、给排水等基础设施基本完善配套，交通便捷，周围 500 米范围内无工矿企业，无高噪声及各种污染源，周围无易燃、易爆、有毒、有害危险品生产、贮存区，项目区范围内未出现过滑坡、泥石流等不良物理地质现象，项目建设条件较好，适宜作为建设用地。</w:t>
            </w:r>
          </w:p>
          <w:p>
            <w:pPr>
              <w:adjustRightInd w:val="0"/>
              <w:snapToGrid w:val="0"/>
              <w:spacing w:line="360" w:lineRule="auto"/>
              <w:ind w:left="0" w:leftChars="0" w:firstLine="0" w:firstLineChars="0"/>
              <w:rPr>
                <w:rFonts w:hint="default" w:ascii="Times New Roman" w:hAnsi="Times New Roman" w:cs="Times New Roman"/>
                <w:b/>
                <w:bCs/>
                <w:color w:val="auto"/>
                <w:spacing w:val="0"/>
                <w:kern w:val="2"/>
                <w:szCs w:val="24"/>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45" w:name="_Toc458883639"/>
      <w:bookmarkStart w:id="46" w:name="_Toc341946645"/>
      <w:bookmarkStart w:id="47" w:name="_Toc376855813"/>
      <w:bookmarkStart w:id="48" w:name="_Toc68101066"/>
      <w:bookmarkStart w:id="49" w:name="_Toc32392"/>
      <w:r>
        <w:rPr>
          <w:rFonts w:hint="eastAsia"/>
          <w:color w:val="auto"/>
        </w:rPr>
        <w:t>二、建设项目</w:t>
      </w:r>
      <w:bookmarkEnd w:id="45"/>
      <w:bookmarkEnd w:id="46"/>
      <w:bookmarkEnd w:id="47"/>
      <w:r>
        <w:rPr>
          <w:rFonts w:hint="eastAsia"/>
          <w:color w:val="auto"/>
        </w:rPr>
        <w:t>工程分析</w:t>
      </w:r>
      <w:bookmarkEnd w:id="48"/>
      <w:bookmarkEnd w:id="49"/>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8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59" w:hRule="atLeast"/>
          <w:jc w:val="center"/>
        </w:trPr>
        <w:tc>
          <w:tcPr>
            <w:tcW w:w="875" w:type="dxa"/>
            <w:vAlign w:val="center"/>
          </w:tcPr>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tc>
        <w:tc>
          <w:tcPr>
            <w:tcW w:w="8479" w:type="dxa"/>
            <w:tcBorders>
              <w:bottom w:val="single" w:color="auto" w:sz="12" w:space="0"/>
            </w:tcBorders>
          </w:tcPr>
          <w:p>
            <w:pPr>
              <w:pStyle w:val="5"/>
              <w:keepNext/>
              <w:keepLines/>
              <w:pageBreakBefore w:val="0"/>
              <w:widowControl w:val="0"/>
              <w:kinsoku/>
              <w:wordWrap/>
              <w:overflowPunct/>
              <w:topLinePunct w:val="0"/>
              <w:autoSpaceDE/>
              <w:autoSpaceDN/>
              <w:bidi w:val="0"/>
              <w:adjustRightInd w:val="0"/>
              <w:snapToGrid w:val="0"/>
              <w:spacing w:before="164" w:beforeLines="50"/>
              <w:ind w:firstLine="482"/>
              <w:jc w:val="both"/>
              <w:textAlignment w:val="auto"/>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rPr>
              <w:t>1、项目</w:t>
            </w:r>
            <w:r>
              <w:rPr>
                <w:rFonts w:hint="default" w:ascii="Times New Roman" w:hAnsi="Times New Roman" w:cs="Times New Roman"/>
                <w:color w:val="auto"/>
                <w:kern w:val="2"/>
                <w:lang w:val="en-US" w:eastAsia="zh-CN"/>
              </w:rPr>
              <w:t>基本情况</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项目名称：</w:t>
            </w:r>
            <w:r>
              <w:rPr>
                <w:rFonts w:hint="default" w:ascii="Times New Roman" w:hAnsi="Times New Roman" w:eastAsia="宋体" w:cs="Times New Roman"/>
                <w:color w:val="auto"/>
                <w:kern w:val="2"/>
                <w:szCs w:val="24"/>
                <w:lang w:eastAsia="zh-CN"/>
              </w:rPr>
              <w:t>姚安县保健院妇婴医院住院综合楼建设项目</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建设单位：</w:t>
            </w:r>
            <w:r>
              <w:rPr>
                <w:rFonts w:hint="default" w:ascii="Times New Roman" w:hAnsi="Times New Roman" w:eastAsia="宋体" w:cs="Times New Roman"/>
                <w:b w:val="0"/>
                <w:bCs/>
                <w:color w:val="auto"/>
                <w:kern w:val="2"/>
                <w:sz w:val="24"/>
                <w:szCs w:val="24"/>
                <w:lang w:val="en-US" w:eastAsia="zh-CN" w:bidi="ar"/>
              </w:rPr>
              <w:t>姚安县妇幼保健计划生育服务中心</w:t>
            </w:r>
            <w:r>
              <w:rPr>
                <w:rFonts w:hint="eastAsia" w:eastAsia="宋体" w:cs="Times New Roman"/>
                <w:b w:val="0"/>
                <w:bCs/>
                <w:color w:val="auto"/>
                <w:kern w:val="2"/>
                <w:sz w:val="24"/>
                <w:szCs w:val="24"/>
                <w:lang w:val="en-US" w:eastAsia="zh-CN" w:bidi="ar"/>
              </w:rPr>
              <w:t>（</w:t>
            </w:r>
            <w:r>
              <w:rPr>
                <w:rFonts w:hint="default" w:ascii="Times New Roman" w:hAnsi="Times New Roman" w:eastAsia="宋体" w:cs="Times New Roman"/>
                <w:b w:val="0"/>
                <w:bCs/>
                <w:color w:val="auto"/>
                <w:kern w:val="2"/>
                <w:sz w:val="24"/>
                <w:szCs w:val="24"/>
                <w:highlight w:val="none"/>
                <w:lang w:val="en-US" w:eastAsia="zh-CN" w:bidi="ar"/>
              </w:rPr>
              <w:t>姚安县妇幼保健院</w:t>
            </w:r>
            <w:r>
              <w:rPr>
                <w:rFonts w:hint="eastAsia" w:eastAsia="宋体" w:cs="Times New Roman"/>
                <w:b w:val="0"/>
                <w:bCs/>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建设地点：</w:t>
            </w:r>
            <w:r>
              <w:rPr>
                <w:rFonts w:hint="default" w:ascii="Times New Roman" w:hAnsi="Times New Roman" w:eastAsia="宋体" w:cs="Times New Roman"/>
                <w:color w:val="auto"/>
                <w:kern w:val="2"/>
                <w:sz w:val="24"/>
                <w:szCs w:val="24"/>
                <w:lang w:val="en-US" w:eastAsia="zh-CN" w:bidi="ar"/>
              </w:rPr>
              <w:t>云南省楚雄州姚安县栋川镇下栖霞路与</w:t>
            </w:r>
            <w:r>
              <w:rPr>
                <w:rFonts w:hint="eastAsia" w:eastAsia="宋体" w:cs="Times New Roman"/>
                <w:color w:val="auto"/>
                <w:kern w:val="2"/>
                <w:sz w:val="24"/>
                <w:szCs w:val="24"/>
                <w:lang w:val="en-US" w:eastAsia="zh-CN" w:bidi="ar"/>
              </w:rPr>
              <w:t>春晖路</w:t>
            </w:r>
            <w:r>
              <w:rPr>
                <w:rFonts w:hint="default" w:ascii="Times New Roman" w:hAnsi="Times New Roman" w:eastAsia="宋体" w:cs="Times New Roman"/>
                <w:color w:val="auto"/>
                <w:kern w:val="2"/>
                <w:sz w:val="24"/>
                <w:szCs w:val="24"/>
                <w:lang w:val="en-US" w:eastAsia="zh-CN" w:bidi="ar"/>
              </w:rPr>
              <w:t>交汇口西处</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建设性质：</w:t>
            </w:r>
            <w:r>
              <w:rPr>
                <w:rFonts w:hint="default" w:ascii="Times New Roman" w:hAnsi="Times New Roman" w:eastAsia="宋体" w:cs="Times New Roman"/>
                <w:color w:val="auto"/>
                <w:kern w:val="2"/>
                <w:sz w:val="24"/>
                <w:szCs w:val="24"/>
                <w:lang w:val="en-US" w:eastAsia="zh-CN" w:bidi="ar"/>
              </w:rPr>
              <w:t>新建</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 w:val="0"/>
                <w:bCs/>
                <w:color w:val="auto"/>
                <w:kern w:val="2"/>
                <w:highlight w:val="none"/>
              </w:rPr>
            </w:pPr>
            <w:r>
              <w:rPr>
                <w:rFonts w:hint="default" w:ascii="Times New Roman" w:hAnsi="Times New Roman" w:eastAsia="宋体" w:cs="Times New Roman"/>
                <w:b/>
                <w:bCs w:val="0"/>
                <w:color w:val="auto"/>
                <w:kern w:val="2"/>
                <w:sz w:val="24"/>
                <w:szCs w:val="24"/>
                <w:highlight w:val="none"/>
                <w:lang w:val="en-US" w:eastAsia="zh-CN" w:bidi="ar"/>
              </w:rPr>
              <w:t>项目内容和规模：</w:t>
            </w:r>
            <w:r>
              <w:rPr>
                <w:rFonts w:hint="default" w:ascii="Times New Roman" w:hAnsi="Times New Roman" w:eastAsia="宋体" w:cs="Times New Roman"/>
                <w:b w:val="0"/>
                <w:bCs/>
                <w:color w:val="auto"/>
                <w:kern w:val="2"/>
                <w:sz w:val="24"/>
                <w:szCs w:val="24"/>
                <w:highlight w:val="none"/>
                <w:lang w:val="en-US" w:eastAsia="zh-CN" w:bidi="ar"/>
              </w:rPr>
              <w:t>本项目拟建妇婴综合楼一幢、框架-剪力墙结构，地下一（建筑面积2000平方米）、地上</w:t>
            </w:r>
            <w:r>
              <w:rPr>
                <w:rFonts w:hint="eastAsia" w:eastAsia="宋体" w:cs="Times New Roman"/>
                <w:b w:val="0"/>
                <w:bCs/>
                <w:color w:val="auto"/>
                <w:kern w:val="2"/>
                <w:sz w:val="24"/>
                <w:szCs w:val="24"/>
                <w:highlight w:val="none"/>
                <w:lang w:val="en-US" w:eastAsia="zh-CN" w:bidi="ar"/>
              </w:rPr>
              <w:t>11</w:t>
            </w:r>
            <w:r>
              <w:rPr>
                <w:rFonts w:hint="default" w:ascii="Times New Roman" w:hAnsi="Times New Roman" w:eastAsia="宋体" w:cs="Times New Roman"/>
                <w:b w:val="0"/>
                <w:bCs/>
                <w:color w:val="auto"/>
                <w:kern w:val="2"/>
                <w:sz w:val="24"/>
                <w:szCs w:val="24"/>
                <w:highlight w:val="none"/>
                <w:lang w:val="en-US" w:eastAsia="zh-CN" w:bidi="ar"/>
              </w:rPr>
              <w:t>层（建筑面积18150平方米），建筑面积20150平方米，设置病床数200张</w:t>
            </w:r>
            <w:r>
              <w:rPr>
                <w:rFonts w:hint="default" w:ascii="Times New Roman" w:hAnsi="Times New Roman" w:cs="Times New Roman"/>
                <w:b w:val="0"/>
                <w:bCs/>
                <w:color w:val="auto"/>
                <w:kern w:val="2"/>
                <w:highlight w:val="none"/>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highlight w:val="none"/>
              </w:rPr>
            </w:pPr>
            <w:r>
              <w:rPr>
                <w:rFonts w:hint="default" w:ascii="Times New Roman" w:hAnsi="Times New Roman" w:eastAsia="宋体" w:cs="Times New Roman"/>
                <w:b/>
                <w:color w:val="auto"/>
                <w:kern w:val="2"/>
                <w:sz w:val="24"/>
                <w:szCs w:val="24"/>
                <w:lang w:val="en-US" w:eastAsia="zh-CN" w:bidi="ar"/>
              </w:rPr>
              <w:t>项目总投资：</w:t>
            </w:r>
            <w:r>
              <w:rPr>
                <w:rFonts w:hint="default" w:ascii="Times New Roman" w:hAnsi="Times New Roman" w:eastAsia="宋体" w:cs="Times New Roman"/>
                <w:color w:val="auto"/>
                <w:kern w:val="2"/>
                <w:sz w:val="24"/>
                <w:szCs w:val="24"/>
                <w:lang w:val="en-US" w:eastAsia="zh-CN" w:bidi="ar"/>
              </w:rPr>
              <w:t>20500万元，</w:t>
            </w:r>
            <w:r>
              <w:rPr>
                <w:rFonts w:hint="default" w:ascii="Times New Roman" w:hAnsi="Times New Roman" w:eastAsia="宋体" w:cs="Times New Roman"/>
                <w:color w:val="auto"/>
                <w:kern w:val="2"/>
                <w:sz w:val="24"/>
                <w:szCs w:val="24"/>
                <w:highlight w:val="none"/>
                <w:lang w:val="en-US" w:eastAsia="zh-CN" w:bidi="ar"/>
              </w:rPr>
              <w:t>其中环保投资</w:t>
            </w:r>
            <w:r>
              <w:rPr>
                <w:rFonts w:hint="eastAsia" w:eastAsia="宋体" w:cs="Times New Roman"/>
                <w:color w:val="auto"/>
                <w:kern w:val="2"/>
                <w:sz w:val="24"/>
                <w:szCs w:val="24"/>
                <w:highlight w:val="none"/>
                <w:lang w:val="en-US" w:eastAsia="zh-CN" w:bidi="ar"/>
              </w:rPr>
              <w:t>154.2</w:t>
            </w:r>
            <w:r>
              <w:rPr>
                <w:rFonts w:hint="default" w:ascii="Times New Roman" w:hAnsi="Times New Roman" w:eastAsia="宋体" w:cs="Times New Roman"/>
                <w:color w:val="auto"/>
                <w:kern w:val="2"/>
                <w:sz w:val="24"/>
                <w:szCs w:val="24"/>
                <w:highlight w:val="none"/>
                <w:lang w:val="en-US" w:eastAsia="zh-CN" w:bidi="ar"/>
              </w:rPr>
              <w:t>万元。</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2、建设工程及</w:t>
            </w:r>
            <w:r>
              <w:rPr>
                <w:rFonts w:hint="default" w:ascii="Times New Roman" w:hAnsi="Times New Roman" w:cs="Times New Roman"/>
                <w:color w:val="auto"/>
                <w:kern w:val="2"/>
              </w:rPr>
              <w:t>内容</w:t>
            </w:r>
          </w:p>
          <w:p>
            <w:pPr>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本项目拟建妇婴综合楼一幢，地下一</w:t>
            </w:r>
            <w:r>
              <w:rPr>
                <w:rFonts w:hint="default" w:ascii="Times New Roman" w:hAnsi="Times New Roman" w:cs="Times New Roman"/>
                <w:color w:val="auto"/>
                <w:kern w:val="2"/>
                <w:lang w:eastAsia="zh-CN"/>
              </w:rPr>
              <w:t>层</w:t>
            </w:r>
            <w:r>
              <w:rPr>
                <w:rFonts w:hint="default" w:ascii="Times New Roman" w:hAnsi="Times New Roman" w:cs="Times New Roman"/>
                <w:color w:val="auto"/>
                <w:kern w:val="2"/>
              </w:rPr>
              <w:t>（建筑面积2000平方米）、地上</w:t>
            </w:r>
            <w:r>
              <w:rPr>
                <w:rFonts w:hint="default" w:ascii="Times New Roman" w:hAnsi="Times New Roman" w:cs="Times New Roman"/>
                <w:color w:val="auto"/>
                <w:kern w:val="2"/>
                <w:lang w:val="en-US" w:eastAsia="zh-CN"/>
              </w:rPr>
              <w:t>11</w:t>
            </w:r>
            <w:r>
              <w:rPr>
                <w:rFonts w:hint="default" w:ascii="Times New Roman" w:hAnsi="Times New Roman" w:cs="Times New Roman"/>
                <w:color w:val="auto"/>
                <w:kern w:val="2"/>
              </w:rPr>
              <w:t>层（建筑面积18150平方米）</w:t>
            </w:r>
            <w:r>
              <w:rPr>
                <w:rFonts w:hint="default" w:ascii="Times New Roman" w:hAnsi="Times New Roman" w:cs="Times New Roman"/>
                <w:color w:val="auto"/>
                <w:kern w:val="2"/>
                <w:lang w:eastAsia="zh-CN"/>
              </w:rPr>
              <w:t>，</w:t>
            </w:r>
            <w:r>
              <w:rPr>
                <w:rFonts w:hint="default" w:ascii="Times New Roman" w:hAnsi="Times New Roman" w:cs="Times New Roman"/>
                <w:color w:val="auto"/>
                <w:kern w:val="2"/>
              </w:rPr>
              <w:t>建筑面积20150平方米（设置200张病床）。拟建</w:t>
            </w:r>
            <w:r>
              <w:rPr>
                <w:rFonts w:hint="eastAsia" w:cs="Times New Roman"/>
                <w:color w:val="auto"/>
                <w:kern w:val="2"/>
                <w:lang w:eastAsia="zh-CN"/>
              </w:rPr>
              <w:t>附属设施</w:t>
            </w:r>
            <w:r>
              <w:rPr>
                <w:rFonts w:hint="default" w:ascii="Times New Roman" w:hAnsi="Times New Roman" w:cs="Times New Roman"/>
                <w:color w:val="auto"/>
                <w:kern w:val="2"/>
              </w:rPr>
              <w:t>消防水池水泵房及发电机房：建筑面积200平方米（容积为250立方米）</w:t>
            </w:r>
            <w:r>
              <w:rPr>
                <w:rFonts w:hint="default" w:ascii="Times New Roman" w:hAnsi="Times New Roman" w:cs="Times New Roman"/>
                <w:color w:val="auto"/>
                <w:kern w:val="2"/>
                <w:lang w:val="en-US" w:eastAsia="zh-CN"/>
              </w:rPr>
              <w:t>；配套消防设施（两台消防泵、两台喷淋泵）；</w:t>
            </w:r>
            <w:r>
              <w:rPr>
                <w:rFonts w:hint="default" w:ascii="Times New Roman" w:hAnsi="Times New Roman" w:cs="Times New Roman"/>
                <w:color w:val="auto"/>
                <w:kern w:val="2"/>
                <w:highlight w:val="none"/>
                <w:lang w:val="en-US" w:eastAsia="zh-CN"/>
              </w:rPr>
              <w:t>拟建污水处理池150平方米，配套污水处理设施一项。</w:t>
            </w:r>
            <w:r>
              <w:rPr>
                <w:rFonts w:hint="default" w:ascii="Times New Roman" w:hAnsi="Times New Roman" w:cs="Times New Roman"/>
                <w:color w:val="auto"/>
                <w:kern w:val="2"/>
                <w:lang w:val="en-US" w:eastAsia="zh-CN"/>
              </w:rPr>
              <w:t>拟建中心供氧房40平方米</w:t>
            </w:r>
            <w:r>
              <w:rPr>
                <w:rFonts w:hint="eastAsia" w:cs="Times New Roman"/>
                <w:color w:val="auto"/>
                <w:kern w:val="2"/>
                <w:lang w:val="en-US" w:eastAsia="zh-CN"/>
              </w:rPr>
              <w:t>；</w:t>
            </w:r>
            <w:r>
              <w:rPr>
                <w:rFonts w:hint="default" w:ascii="Times New Roman" w:hAnsi="Times New Roman" w:cs="Times New Roman"/>
                <w:color w:val="auto"/>
                <w:kern w:val="2"/>
                <w:lang w:val="en-US" w:eastAsia="zh-CN"/>
              </w:rPr>
              <w:t>绿化4000平方米；硬化道路2000平方米。</w:t>
            </w:r>
            <w:r>
              <w:rPr>
                <w:rFonts w:hint="eastAsia" w:cs="Times New Roman"/>
                <w:color w:val="auto"/>
                <w:kern w:val="2"/>
                <w:lang w:val="en-US" w:eastAsia="zh-CN"/>
              </w:rPr>
              <w:t>以上建设内容同时建成，不分期建设。</w:t>
            </w:r>
          </w:p>
          <w:p>
            <w:pPr>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lang w:eastAsia="zh-CN"/>
              </w:rPr>
              <w:t>设置预防保健科、内科、妇产科、妇产保健科、儿科、儿童保健科、麻醉科、医学检验科、医学影像科</w:t>
            </w:r>
            <w:r>
              <w:rPr>
                <w:rFonts w:hint="eastAsia" w:cs="Times New Roman"/>
                <w:color w:val="auto"/>
                <w:kern w:val="2"/>
                <w:lang w:eastAsia="zh-CN"/>
              </w:rPr>
              <w:t>、预防接种（仅针对新生儿）、发热门诊、手术室</w:t>
            </w:r>
            <w:r>
              <w:rPr>
                <w:rFonts w:hint="default" w:ascii="Times New Roman" w:hAnsi="Times New Roman" w:cs="Times New Roman"/>
                <w:color w:val="auto"/>
                <w:kern w:val="2"/>
                <w:lang w:eastAsia="zh-CN"/>
              </w:rPr>
              <w:t>；超声诊断专业，心电诊断专业，中医科。</w:t>
            </w:r>
            <w:r>
              <w:rPr>
                <w:rFonts w:hint="default" w:ascii="Times New Roman" w:hAnsi="Times New Roman" w:cs="Times New Roman"/>
                <w:color w:val="auto"/>
                <w:kern w:val="2"/>
                <w:lang w:val="en-US" w:eastAsia="zh-CN"/>
              </w:rPr>
              <w:t>医护人员在医院吃饭，不在医院住宿，项目不涉及医护人员住宿</w:t>
            </w:r>
            <w:r>
              <w:rPr>
                <w:rFonts w:hint="default" w:ascii="Times New Roman" w:hAnsi="Times New Roman" w:cs="Times New Roman"/>
                <w:color w:val="auto"/>
                <w:kern w:val="2"/>
              </w:rPr>
              <w:t>。项目主要内容见下表。</w:t>
            </w:r>
          </w:p>
          <w:p>
            <w:pPr>
              <w:pStyle w:val="67"/>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表2-1 项目组成一览表</w:t>
            </w:r>
          </w:p>
          <w:tbl>
            <w:tblPr>
              <w:tblStyle w:val="38"/>
              <w:tblW w:w="83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
            <w:tblGrid>
              <w:gridCol w:w="464"/>
              <w:gridCol w:w="966"/>
              <w:gridCol w:w="1173"/>
              <w:gridCol w:w="4512"/>
              <w:gridCol w:w="12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1430"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工程名称</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建设内容及规模</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464"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主体工程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住院综合楼</w:t>
                  </w:r>
                </w:p>
              </w:tc>
              <w:tc>
                <w:tcPr>
                  <w:tcW w:w="5685" w:type="dxa"/>
                  <w:gridSpan w:val="2"/>
                  <w:tcBorders>
                    <w:tl2br w:val="nil"/>
                    <w:tr2bl w:val="nil"/>
                  </w:tcBorders>
                  <w:vAlign w:val="center"/>
                </w:tcPr>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综合楼一幢，地下一层（建筑面积2000平方米）、地上</w:t>
                  </w:r>
                  <w:r>
                    <w:rPr>
                      <w:rFonts w:hint="default" w:ascii="Times New Roman" w:hAnsi="Times New Roman" w:cs="Times New Roman"/>
                      <w:color w:val="auto"/>
                      <w:kern w:val="2"/>
                      <w:sz w:val="21"/>
                      <w:szCs w:val="21"/>
                      <w:lang w:val="en-US" w:eastAsia="zh-CN"/>
                    </w:rPr>
                    <w:t>11</w:t>
                  </w:r>
                  <w:r>
                    <w:rPr>
                      <w:rFonts w:hint="default" w:ascii="Times New Roman" w:hAnsi="Times New Roman" w:eastAsia="宋体" w:cs="Times New Roman"/>
                      <w:color w:val="auto"/>
                      <w:kern w:val="2"/>
                      <w:sz w:val="21"/>
                      <w:szCs w:val="21"/>
                    </w:rPr>
                    <w:t>层（建筑面积18150平方米）</w:t>
                  </w:r>
                  <w:r>
                    <w:rPr>
                      <w:rFonts w:hint="eastAsia" w:cs="Times New Roman"/>
                      <w:color w:val="auto"/>
                      <w:kern w:val="2"/>
                      <w:sz w:val="21"/>
                      <w:szCs w:val="21"/>
                      <w:lang w:eastAsia="zh-CN"/>
                    </w:rPr>
                    <w:t>，</w:t>
                  </w:r>
                  <w:r>
                    <w:rPr>
                      <w:rFonts w:hint="default" w:ascii="Times New Roman" w:hAnsi="Times New Roman" w:eastAsia="宋体" w:cs="Times New Roman"/>
                      <w:color w:val="auto"/>
                      <w:kern w:val="2"/>
                      <w:sz w:val="21"/>
                      <w:szCs w:val="21"/>
                    </w:rPr>
                    <w:t>建筑面积20150平方米（设置200张病床）</w:t>
                  </w:r>
                  <w:r>
                    <w:rPr>
                      <w:rFonts w:hint="default" w:ascii="Times New Roman" w:hAnsi="Times New Roman" w:eastAsia="宋体" w:cs="Times New Roman"/>
                      <w:color w:val="auto"/>
                      <w:kern w:val="2"/>
                      <w:sz w:val="21"/>
                      <w:szCs w:val="21"/>
                      <w:lang w:eastAsia="zh-CN"/>
                    </w:rPr>
                    <w:t>。</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1楼为门诊大厅、挂号收费室。</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2楼为门诊输液大厅、护士站、隔离观察室、门诊、库房、医生办公室、护士办公室、储物室、卫生间；</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3楼为医生办公室、库房、心电检查室、超声检查室、检查室、检验大厅、采集室、暂存室、检验室、微生物室、免疫生化实验室、临床和洗涤间。</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4楼设置空中花园、网络机房、库房和备用房。</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5-10楼为住院病房、医生办公室、主任医生办公室、值班室、换药室、治疗室、综合治疗室以及备餐区，并设置一个小型空中花园；</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11楼为行政办公区域，设置办公室、会议室3间，库房。</w:t>
                  </w:r>
                </w:p>
                <w:p>
                  <w:pPr>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地下一层设置2个消防水池，1个生活用水蓄水池，1套污水处理设施和值班室。</w:t>
                  </w:r>
                </w:p>
              </w:tc>
              <w:tc>
                <w:tcPr>
                  <w:tcW w:w="1280" w:type="dxa"/>
                  <w:tcBorders>
                    <w:tl2br w:val="nil"/>
                    <w:tr2bl w:val="nil"/>
                  </w:tcBorders>
                  <w:vAlign w:val="center"/>
                </w:tcPr>
                <w:p>
                  <w:pPr>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90"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辅助工程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eastAsia"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依托</w:t>
                  </w:r>
                  <w:r>
                    <w:rPr>
                      <w:rFonts w:hint="eastAsia" w:cs="Times New Roman"/>
                      <w:color w:val="auto"/>
                      <w:kern w:val="2"/>
                      <w:sz w:val="21"/>
                      <w:szCs w:val="21"/>
                      <w:highlight w:val="none"/>
                      <w:lang w:eastAsia="zh-CN"/>
                    </w:rPr>
                    <w:t>依托原姚安县妇幼保健计划生育服务中心（姚安县妇幼保</w:t>
                  </w:r>
                </w:p>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eastAsia="zh-CN"/>
                    </w:rPr>
                    <w:t>健计划生育服务中心（姚安县妇幼保健院））食堂</w:t>
                  </w:r>
                  <w:r>
                    <w:rPr>
                      <w:rFonts w:hint="default" w:ascii="Times New Roman" w:hAnsi="Times New Roman" w:eastAsia="宋体" w:cs="Times New Roman"/>
                      <w:color w:val="auto"/>
                      <w:kern w:val="2"/>
                      <w:sz w:val="21"/>
                      <w:szCs w:val="21"/>
                      <w:highlight w:val="none"/>
                      <w:lang w:eastAsia="zh-CN"/>
                    </w:rPr>
                    <w:t>，可供</w:t>
                  </w:r>
                  <w:r>
                    <w:rPr>
                      <w:rFonts w:hint="default" w:ascii="Times New Roman" w:hAnsi="Times New Roman" w:eastAsia="宋体" w:cs="Times New Roman"/>
                      <w:color w:val="auto"/>
                      <w:kern w:val="2"/>
                      <w:sz w:val="21"/>
                      <w:szCs w:val="21"/>
                      <w:highlight w:val="none"/>
                      <w:lang w:val="en-US" w:eastAsia="zh-CN"/>
                    </w:rPr>
                    <w:t>300人同时就餐，增加后厨人员和厨具后，可满足本项目医护人员及患者用餐。原姚安县妇幼保健计划生育服务中心（姚安县妇幼保健计划生育服务中心（姚安县妇幼保健院））食堂已完成竣工环境保护验收工作，且已投入使用。</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lang w:eastAsia="zh-CN"/>
                    </w:rPr>
                    <w:t>依托原姚安县妇幼保健计划生育服务中心（姚安县妇幼保健计划生育服务中心（姚安县妇幼保健院））食堂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4"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备用发电机房</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位于</w:t>
                  </w:r>
                  <w:r>
                    <w:rPr>
                      <w:rFonts w:hint="default" w:ascii="Times New Roman" w:hAnsi="Times New Roman" w:eastAsia="宋体" w:cs="Times New Roman"/>
                      <w:color w:val="auto"/>
                      <w:kern w:val="2"/>
                      <w:sz w:val="21"/>
                      <w:szCs w:val="21"/>
                      <w:lang w:val="en-US" w:eastAsia="zh-CN"/>
                    </w:rPr>
                    <w:t>地下一层</w:t>
                  </w:r>
                  <w:r>
                    <w:rPr>
                      <w:rFonts w:hint="default" w:ascii="Times New Roman" w:hAnsi="Times New Roman" w:eastAsia="宋体" w:cs="Times New Roman"/>
                      <w:color w:val="auto"/>
                      <w:kern w:val="2"/>
                      <w:sz w:val="21"/>
                      <w:szCs w:val="21"/>
                    </w:rPr>
                    <w:t>，停电时由备用发电机应急供电。</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6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制氧站</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位于景观花园西北侧，为医院提供医用氧气。</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4"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门卫、消控室</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位于</w:t>
                  </w:r>
                  <w:r>
                    <w:rPr>
                      <w:rFonts w:hint="eastAsia" w:cs="Times New Roman"/>
                      <w:color w:val="auto"/>
                      <w:kern w:val="2"/>
                      <w:sz w:val="21"/>
                      <w:szCs w:val="21"/>
                      <w:lang w:val="en-US" w:eastAsia="zh-CN"/>
                    </w:rPr>
                    <w:t>项目</w:t>
                  </w:r>
                  <w:r>
                    <w:rPr>
                      <w:rFonts w:hint="default" w:ascii="Times New Roman" w:hAnsi="Times New Roman" w:eastAsia="宋体" w:cs="Times New Roman"/>
                      <w:color w:val="auto"/>
                      <w:kern w:val="2"/>
                      <w:sz w:val="21"/>
                      <w:szCs w:val="21"/>
                      <w:lang w:val="en-US" w:eastAsia="zh-CN"/>
                    </w:rPr>
                    <w:t>主入口左侧，占地面积72㎡。</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1"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公用工程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给水</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姚安县妇婴医院住院综合楼建设项目用水由姚安县供排水公司供给，供水保障率高。</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30"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排水</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项目实行雨污分流制，屋面及屋外雨水通过院内雨水沟排入院外道路排水沟收集后排入市政雨水管网。</w:t>
                  </w:r>
                  <w:r>
                    <w:rPr>
                      <w:rFonts w:hint="default" w:ascii="Times New Roman" w:hAnsi="Times New Roman" w:eastAsia="宋体" w:cs="Times New Roman"/>
                      <w:color w:val="auto"/>
                      <w:kern w:val="2"/>
                      <w:sz w:val="21"/>
                      <w:szCs w:val="21"/>
                      <w:lang w:val="en-US" w:eastAsia="zh-CN"/>
                    </w:rPr>
                    <w:t>项目建设区有完善的城市防洪、排污设施</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项目运营期产生的污水</w:t>
                  </w:r>
                  <w:r>
                    <w:rPr>
                      <w:rFonts w:hint="eastAsia" w:cs="Times New Roman"/>
                      <w:color w:val="auto"/>
                      <w:kern w:val="2"/>
                      <w:sz w:val="21"/>
                      <w:szCs w:val="21"/>
                      <w:lang w:val="en-US" w:eastAsia="zh-CN"/>
                    </w:rPr>
                    <w:t>沿污水管网收集后进入化粪池预处理，随后</w:t>
                  </w:r>
                  <w:r>
                    <w:rPr>
                      <w:rFonts w:hint="default" w:ascii="Times New Roman" w:hAnsi="Times New Roman" w:eastAsia="宋体" w:cs="Times New Roman"/>
                      <w:color w:val="auto"/>
                      <w:kern w:val="2"/>
                      <w:sz w:val="21"/>
                      <w:szCs w:val="21"/>
                      <w:lang w:val="en-US" w:eastAsia="zh-CN"/>
                    </w:rPr>
                    <w:t>进入</w:t>
                  </w:r>
                  <w:r>
                    <w:rPr>
                      <w:rFonts w:hint="default" w:ascii="Times New Roman" w:hAnsi="Times New Roman" w:eastAsia="宋体" w:cs="Times New Roman"/>
                      <w:color w:val="auto"/>
                      <w:kern w:val="2"/>
                      <w:sz w:val="21"/>
                      <w:szCs w:val="21"/>
                    </w:rPr>
                    <w:t>项目自建的污水处理站</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处理达《医疗机构水污染物排放标准》GB18466-2005表2中预处理标准和《污水排入城镇下水道水质标准》（GB/T31962-2015）表1（</w:t>
                  </w:r>
                  <w:r>
                    <w:rPr>
                      <w:rFonts w:hint="eastAsia" w:cs="Times New Roman"/>
                      <w:color w:val="auto"/>
                      <w:kern w:val="2"/>
                      <w:sz w:val="21"/>
                      <w:szCs w:val="21"/>
                      <w:lang w:eastAsia="zh-CN"/>
                    </w:rPr>
                    <w:t>B等级</w:t>
                  </w:r>
                  <w:r>
                    <w:rPr>
                      <w:rFonts w:hint="default" w:ascii="Times New Roman" w:hAnsi="Times New Roman" w:eastAsia="宋体" w:cs="Times New Roman"/>
                      <w:color w:val="auto"/>
                      <w:kern w:val="2"/>
                      <w:sz w:val="21"/>
                      <w:szCs w:val="21"/>
                    </w:rPr>
                    <w:t>）标准后（从严执行），排入</w:t>
                  </w:r>
                  <w:r>
                    <w:rPr>
                      <w:rFonts w:hint="default" w:ascii="Times New Roman" w:hAnsi="Times New Roman" w:eastAsia="宋体" w:cs="Times New Roman"/>
                      <w:color w:val="auto"/>
                      <w:kern w:val="2"/>
                      <w:sz w:val="21"/>
                      <w:szCs w:val="21"/>
                      <w:lang w:val="en-US" w:eastAsia="zh-CN"/>
                    </w:rPr>
                    <w:t>姚安县</w:t>
                  </w:r>
                  <w:r>
                    <w:rPr>
                      <w:rFonts w:hint="default" w:ascii="Times New Roman" w:hAnsi="Times New Roman" w:eastAsia="宋体" w:cs="Times New Roman"/>
                      <w:color w:val="auto"/>
                      <w:kern w:val="2"/>
                      <w:sz w:val="21"/>
                      <w:szCs w:val="21"/>
                    </w:rPr>
                    <w:t>污水管网，最终进入</w:t>
                  </w:r>
                  <w:r>
                    <w:rPr>
                      <w:rFonts w:hint="default" w:ascii="Times New Roman" w:hAnsi="Times New Roman" w:eastAsia="宋体" w:cs="Times New Roman"/>
                      <w:color w:val="auto"/>
                      <w:kern w:val="2"/>
                      <w:sz w:val="21"/>
                      <w:szCs w:val="21"/>
                      <w:lang w:val="en-US" w:eastAsia="zh-CN"/>
                    </w:rPr>
                    <w:t>姚安县</w:t>
                  </w:r>
                  <w:r>
                    <w:rPr>
                      <w:rFonts w:hint="default" w:ascii="Times New Roman" w:hAnsi="Times New Roman" w:eastAsia="宋体" w:cs="Times New Roman"/>
                      <w:color w:val="auto"/>
                      <w:kern w:val="2"/>
                      <w:sz w:val="21"/>
                      <w:szCs w:val="21"/>
                    </w:rPr>
                    <w:t>污水处理厂统一处理</w:t>
                  </w:r>
                  <w:r>
                    <w:rPr>
                      <w:rFonts w:hint="default" w:ascii="Times New Roman" w:hAnsi="Times New Roman" w:eastAsia="宋体" w:cs="Times New Roman"/>
                      <w:color w:val="auto"/>
                      <w:kern w:val="2"/>
                      <w:sz w:val="21"/>
                      <w:szCs w:val="21"/>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供电</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姚安县妇婴医院住院综合楼建设项目用电由云南电网有限责任公司姚安供电局供给，供电有保证。</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消防工程</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eastAsia"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设置室内消火栓系统、自动喷水灭火系统及手提式灭火系统</w:t>
                  </w:r>
                  <w:r>
                    <w:rPr>
                      <w:rFonts w:hint="eastAsia" w:cs="Times New Roman"/>
                      <w:color w:val="auto"/>
                      <w:kern w:val="2"/>
                      <w:sz w:val="21"/>
                      <w:szCs w:val="21"/>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热水系统</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热水系统为太阳能系统，电能为辅助。</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194"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环保工程</w:t>
                  </w:r>
                </w:p>
              </w:tc>
              <w:tc>
                <w:tcPr>
                  <w:tcW w:w="966"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固废</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医疗废物暂存间</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highlight w:val="none"/>
                      <w:lang w:eastAsia="zh-CN"/>
                    </w:rPr>
                    <w:t>医疗废物暂存间</w:t>
                  </w:r>
                  <w:r>
                    <w:rPr>
                      <w:rFonts w:hint="default" w:ascii="Times New Roman" w:hAnsi="Times New Roman" w:eastAsia="宋体" w:cs="Times New Roman"/>
                      <w:color w:val="auto"/>
                      <w:kern w:val="2"/>
                      <w:sz w:val="21"/>
                      <w:szCs w:val="21"/>
                      <w:highlight w:val="none"/>
                    </w:rPr>
                    <w:t>位于</w:t>
                  </w:r>
                  <w:r>
                    <w:rPr>
                      <w:rFonts w:hint="default" w:ascii="Times New Roman" w:hAnsi="Times New Roman" w:eastAsia="宋体" w:cs="Times New Roman"/>
                      <w:color w:val="auto"/>
                      <w:kern w:val="2"/>
                      <w:sz w:val="21"/>
                      <w:szCs w:val="21"/>
                      <w:highlight w:val="none"/>
                      <w:lang w:eastAsia="zh-CN"/>
                    </w:rPr>
                    <w:t>医院西</w:t>
                  </w:r>
                  <w:r>
                    <w:rPr>
                      <w:rFonts w:hint="default" w:ascii="Times New Roman" w:hAnsi="Times New Roman" w:eastAsia="宋体" w:cs="Times New Roman"/>
                      <w:color w:val="auto"/>
                      <w:kern w:val="2"/>
                      <w:sz w:val="21"/>
                      <w:szCs w:val="21"/>
                      <w:highlight w:val="none"/>
                      <w:lang w:val="en-US" w:eastAsia="zh-CN"/>
                    </w:rPr>
                    <w:t>南</w:t>
                  </w:r>
                  <w:r>
                    <w:rPr>
                      <w:rFonts w:hint="default" w:ascii="Times New Roman" w:hAnsi="Times New Roman" w:eastAsia="宋体" w:cs="Times New Roman"/>
                      <w:color w:val="auto"/>
                      <w:kern w:val="2"/>
                      <w:sz w:val="21"/>
                      <w:szCs w:val="21"/>
                      <w:highlight w:val="none"/>
                    </w:rPr>
                    <w:t>面</w:t>
                  </w:r>
                  <w:r>
                    <w:rPr>
                      <w:rFonts w:hint="default" w:ascii="Times New Roman" w:hAnsi="Times New Roman" w:eastAsia="宋体" w:cs="Times New Roman"/>
                      <w:color w:val="auto"/>
                      <w:kern w:val="2"/>
                      <w:sz w:val="21"/>
                      <w:szCs w:val="21"/>
                      <w:highlight w:val="none"/>
                      <w:lang w:val="en-US" w:eastAsia="zh-CN"/>
                    </w:rPr>
                    <w:t>门卫室后面</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eastAsia="zh-CN"/>
                    </w:rPr>
                    <w:t>高度</w:t>
                  </w:r>
                  <w:r>
                    <w:rPr>
                      <w:rFonts w:hint="default" w:ascii="Times New Roman" w:hAnsi="Times New Roman" w:eastAsia="宋体" w:cs="Times New Roman"/>
                      <w:color w:val="auto"/>
                      <w:kern w:val="2"/>
                      <w:sz w:val="21"/>
                      <w:szCs w:val="21"/>
                      <w:highlight w:val="none"/>
                      <w:lang w:val="en-US" w:eastAsia="zh-CN"/>
                    </w:rPr>
                    <w:t>5.9m，</w:t>
                  </w:r>
                  <w:r>
                    <w:rPr>
                      <w:rFonts w:hint="default" w:ascii="Times New Roman" w:hAnsi="Times New Roman" w:eastAsia="宋体" w:cs="Times New Roman"/>
                      <w:color w:val="auto"/>
                      <w:kern w:val="2"/>
                      <w:sz w:val="21"/>
                      <w:szCs w:val="21"/>
                      <w:highlight w:val="none"/>
                    </w:rPr>
                    <w:t>占地面积约</w:t>
                  </w:r>
                  <w:r>
                    <w:rPr>
                      <w:rFonts w:hint="default" w:ascii="Times New Roman" w:hAnsi="Times New Roman" w:eastAsia="宋体" w:cs="Times New Roman"/>
                      <w:color w:val="auto"/>
                      <w:kern w:val="2"/>
                      <w:sz w:val="21"/>
                      <w:szCs w:val="21"/>
                      <w:highlight w:val="none"/>
                      <w:lang w:val="en-US" w:eastAsia="zh-CN"/>
                    </w:rPr>
                    <w:t>75.6</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2</w:t>
                  </w:r>
                  <w:r>
                    <w:rPr>
                      <w:rFonts w:hint="default" w:ascii="Times New Roman" w:hAnsi="Times New Roman" w:eastAsia="宋体" w:cs="Times New Roman"/>
                      <w:color w:val="auto"/>
                      <w:kern w:val="2"/>
                      <w:sz w:val="21"/>
                      <w:szCs w:val="21"/>
                      <w:highlight w:val="none"/>
                    </w:rPr>
                    <w:t>，用于暂存医疗</w:t>
                  </w:r>
                  <w:r>
                    <w:rPr>
                      <w:rFonts w:hint="eastAsia" w:cs="Times New Roman"/>
                      <w:color w:val="auto"/>
                      <w:kern w:val="2"/>
                      <w:sz w:val="21"/>
                      <w:szCs w:val="21"/>
                      <w:highlight w:val="none"/>
                      <w:lang w:eastAsia="zh-CN"/>
                    </w:rPr>
                    <w:t>废物。</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医疗固废收集桶</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医疗废物收集桶、利器盒若干个</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61"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生活垃圾</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大</w:t>
                  </w:r>
                  <w:bookmarkStart w:id="50" w:name="OLE_LINK68"/>
                  <w:bookmarkStart w:id="51" w:name="OLE_LINK29"/>
                  <w:bookmarkStart w:id="52" w:name="OLE_LINK67"/>
                  <w:bookmarkStart w:id="53" w:name="OLE_LINK53"/>
                  <w:bookmarkStart w:id="54" w:name="OLE_LINK49"/>
                  <w:bookmarkStart w:id="55" w:name="OLE_LINK63"/>
                  <w:bookmarkStart w:id="56" w:name="OLE_LINK64"/>
                  <w:bookmarkStart w:id="57" w:name="OLE_LINK42"/>
                  <w:bookmarkStart w:id="58" w:name="OLE_LINK57"/>
                  <w:bookmarkStart w:id="59" w:name="OLE_LINK60"/>
                  <w:bookmarkStart w:id="60" w:name="OLE_LINK74"/>
                  <w:bookmarkStart w:id="61" w:name="OLE_LINK52"/>
                  <w:bookmarkStart w:id="62" w:name="OLE_LINK65"/>
                  <w:bookmarkStart w:id="63" w:name="OLE_LINK48"/>
                  <w:bookmarkStart w:id="64" w:name="OLE_LINK58"/>
                  <w:bookmarkStart w:id="65" w:name="OLE_LINK66"/>
                  <w:bookmarkStart w:id="66" w:name="OLE_LINK50"/>
                  <w:bookmarkStart w:id="67" w:name="OLE_LINK46"/>
                  <w:bookmarkStart w:id="68" w:name="OLE_LINK40"/>
                  <w:bookmarkStart w:id="69" w:name="OLE_LINK55"/>
                  <w:bookmarkStart w:id="70" w:name="OLE_LINK72"/>
                  <w:bookmarkStart w:id="71" w:name="OLE_LINK47"/>
                  <w:bookmarkStart w:id="72" w:name="OLE_LINK35"/>
                  <w:bookmarkStart w:id="73" w:name="OLE_LINK70"/>
                  <w:bookmarkStart w:id="74" w:name="OLE_LINK51"/>
                  <w:bookmarkStart w:id="75" w:name="OLE_LINK62"/>
                  <w:bookmarkStart w:id="76" w:name="OLE_LINK34"/>
                  <w:bookmarkStart w:id="77" w:name="OLE_LINK33"/>
                  <w:bookmarkStart w:id="78" w:name="OLE_LINK71"/>
                  <w:bookmarkStart w:id="79" w:name="OLE_LINK54"/>
                  <w:bookmarkStart w:id="80" w:name="OLE_LINK43"/>
                  <w:bookmarkStart w:id="81" w:name="OLE_LINK45"/>
                  <w:bookmarkStart w:id="82" w:name="OLE_LINK31"/>
                  <w:bookmarkStart w:id="83" w:name="OLE_LINK69"/>
                  <w:bookmarkStart w:id="84" w:name="OLE_LINK56"/>
                  <w:bookmarkStart w:id="85" w:name="OLE_LINK41"/>
                  <w:bookmarkStart w:id="86" w:name="OLE_LINK32"/>
                  <w:bookmarkStart w:id="87" w:name="OLE_LINK27"/>
                  <w:bookmarkStart w:id="88" w:name="OLE_LINK73"/>
                  <w:bookmarkStart w:id="89" w:name="OLE_LINK39"/>
                  <w:bookmarkStart w:id="90" w:name="OLE_LINK28"/>
                  <w:bookmarkStart w:id="91" w:name="OLE_LINK30"/>
                  <w:bookmarkStart w:id="92" w:name="OLE_LINK38"/>
                  <w:bookmarkStart w:id="93" w:name="OLE_LINK36"/>
                  <w:bookmarkStart w:id="94" w:name="OLE_LINK44"/>
                  <w:bookmarkStart w:id="95" w:name="OLE_LINK37"/>
                  <w:bookmarkStart w:id="96" w:name="OLE_LINK59"/>
                  <w:bookmarkStart w:id="97" w:name="OLE_LINK61"/>
                  <w:r>
                    <w:rPr>
                      <w:rFonts w:hint="default" w:ascii="Times New Roman" w:hAnsi="Times New Roman" w:eastAsia="宋体" w:cs="Times New Roman"/>
                      <w:color w:val="auto"/>
                      <w:kern w:val="2"/>
                      <w:sz w:val="21"/>
                      <w:szCs w:val="21"/>
                    </w:rPr>
                    <w:t>型移动式加盖垃圾收集桶、室内垃圾收集桶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default" w:ascii="Times New Roman" w:hAnsi="Times New Roman" w:eastAsia="宋体" w:cs="Times New Roman"/>
                      <w:color w:val="auto"/>
                      <w:kern w:val="2"/>
                      <w:sz w:val="21"/>
                      <w:szCs w:val="21"/>
                    </w:rPr>
                    <w:t>若干个</w:t>
                  </w:r>
                  <w:r>
                    <w:rPr>
                      <w:rFonts w:hint="default" w:ascii="Times New Roman" w:hAnsi="Times New Roman" w:eastAsia="宋体" w:cs="Times New Roman"/>
                      <w:color w:val="auto"/>
                      <w:kern w:val="2"/>
                      <w:sz w:val="21"/>
                      <w:szCs w:val="21"/>
                      <w:lang w:eastAsia="zh-CN"/>
                    </w:rPr>
                    <w:t>。生活垃圾房位于</w:t>
                  </w:r>
                  <w:r>
                    <w:rPr>
                      <w:rFonts w:hint="eastAsia" w:cs="Times New Roman"/>
                      <w:color w:val="auto"/>
                      <w:kern w:val="2"/>
                      <w:sz w:val="21"/>
                      <w:szCs w:val="21"/>
                      <w:lang w:eastAsia="zh-CN"/>
                    </w:rPr>
                    <w:t>医疗废物暂存间</w:t>
                  </w:r>
                  <w:r>
                    <w:rPr>
                      <w:rFonts w:hint="default" w:ascii="Times New Roman" w:hAnsi="Times New Roman" w:eastAsia="宋体" w:cs="Times New Roman"/>
                      <w:color w:val="auto"/>
                      <w:kern w:val="2"/>
                      <w:sz w:val="21"/>
                      <w:szCs w:val="21"/>
                      <w:lang w:eastAsia="zh-CN"/>
                    </w:rPr>
                    <w:t>旁边，占地面积</w:t>
                  </w:r>
                  <w:r>
                    <w:rPr>
                      <w:rFonts w:hint="default" w:ascii="Times New Roman" w:hAnsi="Times New Roman" w:eastAsia="宋体" w:cs="Times New Roman"/>
                      <w:color w:val="auto"/>
                      <w:kern w:val="2"/>
                      <w:sz w:val="21"/>
                      <w:szCs w:val="21"/>
                      <w:lang w:val="en-US" w:eastAsia="zh-CN"/>
                    </w:rPr>
                    <w:t>25.6</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2</w:t>
                  </w:r>
                  <w:r>
                    <w:rPr>
                      <w:rFonts w:hint="default" w:ascii="Times New Roman" w:hAnsi="Times New Roman" w:eastAsia="宋体" w:cs="Times New Roman"/>
                      <w:color w:val="auto"/>
                      <w:kern w:val="2"/>
                      <w:sz w:val="21"/>
                      <w:szCs w:val="21"/>
                      <w:highlight w:val="none"/>
                      <w:vertAlign w:val="baseline"/>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废水</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污水处理站</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污水处理池</w:t>
                  </w:r>
                  <w:r>
                    <w:rPr>
                      <w:rFonts w:hint="default" w:ascii="Times New Roman" w:hAnsi="Times New Roman" w:eastAsia="宋体" w:cs="Times New Roman"/>
                      <w:color w:val="auto"/>
                      <w:kern w:val="2"/>
                      <w:sz w:val="21"/>
                      <w:szCs w:val="21"/>
                      <w:lang w:val="en-US" w:eastAsia="zh-CN"/>
                    </w:rPr>
                    <w:t>1个，占地面积</w:t>
                  </w:r>
                  <w:r>
                    <w:rPr>
                      <w:rFonts w:hint="default" w:ascii="Times New Roman" w:hAnsi="Times New Roman" w:eastAsia="宋体" w:cs="Times New Roman"/>
                      <w:color w:val="auto"/>
                      <w:kern w:val="2"/>
                      <w:sz w:val="21"/>
                      <w:szCs w:val="21"/>
                    </w:rPr>
                    <w:t>150平方米，配套污水处理设施一项，</w:t>
                  </w:r>
                  <w:r>
                    <w:rPr>
                      <w:rFonts w:hint="default" w:ascii="Times New Roman" w:hAnsi="Times New Roman" w:eastAsia="宋体" w:cs="Times New Roman"/>
                      <w:color w:val="auto"/>
                      <w:kern w:val="2"/>
                      <w:sz w:val="21"/>
                      <w:szCs w:val="21"/>
                      <w:highlight w:val="none"/>
                    </w:rPr>
                    <w:t>处理能力</w:t>
                  </w:r>
                  <w:r>
                    <w:rPr>
                      <w:rFonts w:hint="default" w:ascii="Times New Roman" w:hAnsi="Times New Roman" w:cs="Times New Roman"/>
                      <w:color w:val="auto"/>
                      <w:kern w:val="2"/>
                      <w:sz w:val="21"/>
                      <w:szCs w:val="21"/>
                      <w:highlight w:val="none"/>
                      <w:lang w:val="en-US" w:eastAsia="zh-CN"/>
                    </w:rPr>
                    <w:t>60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2"/>
                      <w:sz w:val="21"/>
                      <w:szCs w:val="21"/>
                      <w:highlight w:val="none"/>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化粪池</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highlight w:val="none"/>
                      <w:lang w:eastAsia="zh-CN"/>
                    </w:rPr>
                    <w:t>建设一个容积为</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eastAsia" w:eastAsia="宋体" w:cs="Times New Roman"/>
                      <w:color w:val="auto"/>
                      <w:kern w:val="2"/>
                      <w:sz w:val="21"/>
                      <w:szCs w:val="21"/>
                      <w:highlight w:val="none"/>
                      <w:vertAlign w:val="baseline"/>
                      <w:lang w:eastAsia="zh-CN"/>
                    </w:rPr>
                    <w:t>的化粪池。</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隔声减震</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污水处理站</w:t>
                  </w:r>
                  <w:r>
                    <w:rPr>
                      <w:rFonts w:hint="default" w:ascii="Times New Roman" w:hAnsi="Times New Roman" w:eastAsia="宋体" w:cs="Times New Roman"/>
                      <w:color w:val="auto"/>
                      <w:kern w:val="2"/>
                      <w:sz w:val="21"/>
                      <w:szCs w:val="21"/>
                      <w:lang w:val="en-US" w:eastAsia="zh-CN"/>
                    </w:rPr>
                    <w:t>污水处理站位于地下一层、</w:t>
                  </w:r>
                  <w:r>
                    <w:rPr>
                      <w:rFonts w:hint="default" w:ascii="Times New Roman" w:hAnsi="Times New Roman" w:eastAsia="宋体" w:cs="Times New Roman"/>
                      <w:color w:val="auto"/>
                      <w:kern w:val="2"/>
                      <w:sz w:val="21"/>
                      <w:szCs w:val="21"/>
                    </w:rPr>
                    <w:t>风机基础减震，风机置于风机柜内</w:t>
                  </w:r>
                  <w:r>
                    <w:rPr>
                      <w:rFonts w:hint="default" w:ascii="Times New Roman" w:hAnsi="Times New Roman" w:eastAsia="宋体" w:cs="Times New Roman"/>
                      <w:color w:val="auto"/>
                      <w:kern w:val="2"/>
                      <w:sz w:val="21"/>
                      <w:szCs w:val="21"/>
                      <w:lang w:eastAsia="zh-CN"/>
                    </w:rPr>
                    <w:t>；柴油发电机设置于专用发电机房内</w:t>
                  </w:r>
                  <w:r>
                    <w:rPr>
                      <w:rFonts w:hint="eastAsia"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柴油机房墙面作吸声处理，以减少噪声对周围环境的影响。冷冻机房配电值班室，墙面作吸声处理，减少噪声对值班人员的影响。</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1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废气</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污水处理站四周产生的臭味等，采取污水处理站位于地下一</w:t>
                  </w:r>
                  <w:r>
                    <w:rPr>
                      <w:rFonts w:hint="eastAsia" w:cs="Times New Roman"/>
                      <w:color w:val="auto"/>
                      <w:kern w:val="2"/>
                      <w:sz w:val="21"/>
                      <w:szCs w:val="21"/>
                      <w:lang w:eastAsia="zh-CN"/>
                    </w:rPr>
                    <w:t>层</w:t>
                  </w:r>
                  <w:r>
                    <w:rPr>
                      <w:rFonts w:hint="default" w:ascii="Times New Roman" w:hAnsi="Times New Roman" w:eastAsia="宋体" w:cs="Times New Roman"/>
                      <w:color w:val="auto"/>
                      <w:kern w:val="2"/>
                      <w:sz w:val="21"/>
                      <w:szCs w:val="21"/>
                      <w:lang w:eastAsia="zh-CN"/>
                    </w:rPr>
                    <w:t>，将水处理池加盖板密闭起来，并采用消毒剂对空气进行消毒除臭。</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1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绿化</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景观绿化面积</w:t>
                  </w:r>
                  <w:r>
                    <w:rPr>
                      <w:rFonts w:hint="default" w:ascii="Times New Roman" w:hAnsi="Times New Roman" w:eastAsia="宋体" w:cs="Times New Roman"/>
                      <w:color w:val="auto"/>
                      <w:kern w:val="2"/>
                      <w:sz w:val="21"/>
                      <w:szCs w:val="21"/>
                      <w:lang w:val="en-US" w:eastAsia="zh-CN"/>
                    </w:rPr>
                    <w:t>4000㎡。</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新建</w:t>
                  </w:r>
                </w:p>
              </w:tc>
            </w:tr>
          </w:tbl>
          <w:p>
            <w:pPr>
              <w:pStyle w:val="5"/>
              <w:keepNext/>
              <w:keepLines/>
              <w:pageBreakBefore w:val="0"/>
              <w:widowControl w:val="0"/>
              <w:kinsoku/>
              <w:wordWrap/>
              <w:overflowPunct/>
              <w:topLinePunct w:val="0"/>
              <w:autoSpaceDE/>
              <w:autoSpaceDN/>
              <w:bidi w:val="0"/>
              <w:adjustRightInd w:val="0"/>
              <w:snapToGrid w:val="0"/>
              <w:spacing w:before="164" w:beforeLines="5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3</w:t>
            </w:r>
            <w:r>
              <w:rPr>
                <w:rFonts w:hint="default" w:ascii="Times New Roman" w:hAnsi="Times New Roman" w:cs="Times New Roman"/>
                <w:color w:val="auto"/>
                <w:kern w:val="2"/>
              </w:rPr>
              <w:t>、主要生产设备</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eastAsia="zh-CN"/>
              </w:rPr>
              <w:t>本项目</w:t>
            </w:r>
            <w:r>
              <w:rPr>
                <w:rFonts w:hint="default" w:ascii="Times New Roman" w:hAnsi="Times New Roman" w:cs="Times New Roman"/>
                <w:color w:val="auto"/>
                <w:kern w:val="2"/>
              </w:rPr>
              <w:t>主要</w:t>
            </w:r>
            <w:r>
              <w:rPr>
                <w:rFonts w:hint="default" w:ascii="Times New Roman" w:hAnsi="Times New Roman" w:cs="Times New Roman"/>
                <w:color w:val="auto"/>
                <w:kern w:val="2"/>
                <w:lang w:eastAsia="zh-CN"/>
              </w:rPr>
              <w:t>医疗</w:t>
            </w:r>
            <w:r>
              <w:rPr>
                <w:rFonts w:hint="default" w:ascii="Times New Roman" w:hAnsi="Times New Roman" w:cs="Times New Roman"/>
                <w:color w:val="auto"/>
                <w:kern w:val="2"/>
              </w:rPr>
              <w:t>设备</w:t>
            </w:r>
            <w:r>
              <w:rPr>
                <w:rFonts w:hint="eastAsia" w:cs="Times New Roman"/>
                <w:color w:val="auto"/>
                <w:kern w:val="2"/>
                <w:lang w:eastAsia="zh-CN"/>
              </w:rPr>
              <w:t>及生产</w:t>
            </w:r>
            <w:r>
              <w:rPr>
                <w:rFonts w:hint="default" w:ascii="Times New Roman" w:hAnsi="Times New Roman" w:cs="Times New Roman"/>
                <w:color w:val="auto"/>
                <w:kern w:val="2"/>
              </w:rPr>
              <w:t>如下：</w:t>
            </w:r>
          </w:p>
          <w:p>
            <w:pPr>
              <w:pStyle w:val="67"/>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表2-2 项目主要设备一览表</w:t>
            </w:r>
          </w:p>
          <w:tbl>
            <w:tblPr>
              <w:tblStyle w:val="38"/>
              <w:tblW w:w="840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56"/>
              <w:gridCol w:w="2775"/>
              <w:gridCol w:w="1246"/>
              <w:gridCol w:w="1392"/>
              <w:gridCol w:w="173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名称</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数量</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单位</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腹腔镜</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呼吸机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麻醉机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6</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婴儿辐射保暖台</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只</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电刀</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低温等离子灭菌器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高压蒸汽灭菌器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监护仪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9</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注射泵</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彩色超声诊断仪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价格不同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彩色超声诊断仪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价格不同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彩色多普勒超声诊断系统</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中央监护站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中央监护(胎儿)站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婴儿洗浴控制器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超声胎音仪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超声引导可视人流系统</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18</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小儿听力筛查仪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19</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胎心监护仪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电子阴道镜</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产后康复仪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全自动尿液分析仪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全自动血细胞分析仪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全自动生化分析仪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CT</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处理</w:t>
                  </w:r>
                  <w:r>
                    <w:rPr>
                      <w:rFonts w:hint="eastAsia" w:ascii="Times New Roman" w:hAnsi="Times New Roman" w:cs="Times New Roman"/>
                      <w:color w:val="auto"/>
                      <w:kern w:val="2"/>
                      <w:sz w:val="21"/>
                      <w:szCs w:val="21"/>
                      <w:lang w:val="en-US" w:eastAsia="zh-CN"/>
                    </w:rPr>
                    <w:t>能力</w:t>
                  </w:r>
                  <w:r>
                    <w:rPr>
                      <w:rFonts w:hint="default" w:ascii="Times New Roman" w:hAnsi="Times New Roman" w:cs="Times New Roman"/>
                      <w:color w:val="auto"/>
                      <w:kern w:val="2"/>
                      <w:sz w:val="21"/>
                      <w:szCs w:val="21"/>
                      <w:lang w:val="en-US" w:eastAsia="zh-CN"/>
                    </w:rPr>
                    <w:t>60m³/d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备用柴油发电机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250kW</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4</w:t>
            </w:r>
            <w:r>
              <w:rPr>
                <w:rFonts w:hint="default" w:ascii="Times New Roman" w:hAnsi="Times New Roman" w:cs="Times New Roman"/>
                <w:color w:val="auto"/>
                <w:kern w:val="2"/>
              </w:rPr>
              <w:t>、主要原辅材料消耗</w:t>
            </w:r>
          </w:p>
          <w:p>
            <w:pPr>
              <w:ind w:firstLine="480"/>
              <w:jc w:val="both"/>
              <w:rPr>
                <w:rFonts w:hint="eastAsia" w:ascii="Times New Roman" w:hAnsi="Times New Roman" w:cs="Times New Roman" w:eastAsiaTheme="minorEastAsia"/>
                <w:color w:val="auto"/>
                <w:kern w:val="2"/>
                <w:szCs w:val="24"/>
                <w:lang w:eastAsia="zh-CN"/>
              </w:rPr>
            </w:pPr>
            <w:r>
              <w:rPr>
                <w:rFonts w:hint="default" w:ascii="Times New Roman" w:hAnsi="Times New Roman" w:cs="Times New Roman"/>
                <w:color w:val="auto"/>
                <w:kern w:val="2"/>
                <w:szCs w:val="24"/>
              </w:rPr>
              <w:t>项目运营期间消耗的原辅材料主要有注射器、输液管、医用棉花、纱布、血液采集管、氧气等。各原辅材料消耗情况如表2-3所示</w:t>
            </w:r>
            <w:r>
              <w:rPr>
                <w:rFonts w:hint="eastAsia" w:ascii="Times New Roman" w:hAnsi="Times New Roman" w:cs="Times New Roman"/>
                <w:color w:val="auto"/>
                <w:kern w:val="2"/>
                <w:szCs w:val="24"/>
                <w:lang w:eastAsia="zh-CN"/>
              </w:rPr>
              <w:t>。</w:t>
            </w:r>
          </w:p>
          <w:p>
            <w:pPr>
              <w:pStyle w:val="67"/>
              <w:spacing w:line="360" w:lineRule="auto"/>
              <w:ind w:left="0" w:leftChars="0" w:right="0" w:rightChars="0"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kern w:val="2"/>
                <w:sz w:val="21"/>
                <w:szCs w:val="21"/>
              </w:rPr>
              <w:t>表2-3 项目主要医疗用品消耗情况</w:t>
            </w:r>
          </w:p>
          <w:tbl>
            <w:tblPr>
              <w:tblStyle w:val="37"/>
              <w:tblW w:w="83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
            <w:tblGrid>
              <w:gridCol w:w="1128"/>
              <w:gridCol w:w="3158"/>
              <w:gridCol w:w="1722"/>
              <w:gridCol w:w="876"/>
              <w:gridCol w:w="14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类别</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名称</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年消耗量</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来源</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主要化学成分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医疗器材</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一次性空针、输液管</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1万具</w:t>
                  </w:r>
                </w:p>
              </w:tc>
              <w:tc>
                <w:tcPr>
                  <w:tcW w:w="876"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聚乙烯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一次性中单、小单</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1.2万张</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一次性手套</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0.5万双</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一次性尿带、尿管</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0.1万套</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药品</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针剂药品</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0.2万支</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口服药剂</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0.5万盒</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28"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普通方剂用药</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70千克</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32"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中药材</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65" w:hRule="atLeast"/>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消毒剂</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乙醇</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61"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次氯酸钠</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0.05吨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15"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优氯净及空气消毒剂</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0.05吨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15" w:hRule="atLeast"/>
                <w:jc w:val="center"/>
              </w:trPr>
              <w:tc>
                <w:tcPr>
                  <w:tcW w:w="4286" w:type="dxa"/>
                  <w:gridSpan w:val="2"/>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eastAsia" w:cs="Times New Roman"/>
                      <w:color w:val="auto"/>
                      <w:kern w:val="2"/>
                      <w:sz w:val="21"/>
                      <w:szCs w:val="21"/>
                      <w:lang w:eastAsia="zh-CN"/>
                    </w:rPr>
                    <w:t>柴油</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0.1吨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highlight w:val="none"/>
              </w:rPr>
            </w:pPr>
            <w:r>
              <w:rPr>
                <w:rFonts w:hint="default" w:ascii="Times New Roman" w:hAnsi="Times New Roman" w:eastAsia="宋体" w:cs="Times New Roman"/>
                <w:b/>
                <w:color w:val="auto"/>
                <w:kern w:val="2"/>
                <w:sz w:val="24"/>
                <w:szCs w:val="24"/>
                <w:highlight w:val="none"/>
                <w:lang w:val="en-US" w:eastAsia="zh-CN" w:bidi="ar"/>
              </w:rPr>
              <w:t>5、公用工程</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b/>
                <w:color w:val="auto"/>
                <w:kern w:val="2"/>
                <w:sz w:val="24"/>
                <w:szCs w:val="24"/>
                <w:lang w:val="en-US" w:eastAsia="zh-CN" w:bidi="ar"/>
              </w:rPr>
              <w:t>（1）给排水</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给水：项目用水由姚安县供排水公司供给，供水保障率高。</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排水：</w:t>
            </w:r>
            <w:r>
              <w:rPr>
                <w:rFonts w:hint="default" w:ascii="Times New Roman" w:hAnsi="Times New Roman" w:eastAsia="宋体" w:cs="Times New Roman"/>
                <w:color w:val="auto"/>
                <w:kern w:val="2"/>
                <w:sz w:val="24"/>
                <w:szCs w:val="24"/>
                <w:lang w:val="en-US" w:eastAsia="zh-CN" w:bidi="ar-SA"/>
              </w:rPr>
              <w:t>项目实行雨污分流制，雨水通过院内雨水沟排入院外道路排水沟。项目建设区有完善的城市防洪、排污设施</w:t>
            </w:r>
            <w:r>
              <w:rPr>
                <w:rFonts w:hint="eastAsia"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项目运营期产生的污水进入化粪池预处理，随后</w:t>
            </w:r>
            <w:r>
              <w:rPr>
                <w:rFonts w:hint="eastAsia" w:eastAsia="宋体" w:cs="Times New Roman"/>
                <w:color w:val="auto"/>
                <w:kern w:val="2"/>
                <w:sz w:val="24"/>
                <w:szCs w:val="24"/>
                <w:lang w:val="en-US" w:eastAsia="zh-CN" w:bidi="ar-SA"/>
              </w:rPr>
              <w:t>汇入</w:t>
            </w:r>
            <w:r>
              <w:rPr>
                <w:rFonts w:hint="default" w:ascii="Times New Roman" w:hAnsi="Times New Roman" w:eastAsia="宋体" w:cs="Times New Roman"/>
                <w:color w:val="auto"/>
                <w:kern w:val="2"/>
                <w:sz w:val="24"/>
                <w:szCs w:val="24"/>
                <w:lang w:val="en-US" w:eastAsia="zh-CN" w:bidi="ar-SA"/>
              </w:rPr>
              <w:t>项目自建的污水处理站</w:t>
            </w:r>
            <w:r>
              <w:rPr>
                <w:rFonts w:hint="eastAsia"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处理达《医疗机构水污染物排放标准》GB18466-2005表2中预处理标准和《污水排入城镇下水道水质标准》（GB/T31962-2015）表1（</w:t>
            </w:r>
            <w:r>
              <w:rPr>
                <w:rFonts w:hint="eastAsia" w:eastAsia="宋体" w:cs="Times New Roman"/>
                <w:color w:val="auto"/>
                <w:kern w:val="2"/>
                <w:sz w:val="24"/>
                <w:szCs w:val="24"/>
                <w:lang w:val="en-US" w:eastAsia="zh-CN" w:bidi="ar-SA"/>
              </w:rPr>
              <w:t>B等级</w:t>
            </w:r>
            <w:r>
              <w:rPr>
                <w:rFonts w:hint="default" w:ascii="Times New Roman" w:hAnsi="Times New Roman" w:eastAsia="宋体" w:cs="Times New Roman"/>
                <w:color w:val="auto"/>
                <w:kern w:val="2"/>
                <w:sz w:val="24"/>
                <w:szCs w:val="24"/>
                <w:lang w:val="en-US" w:eastAsia="zh-CN" w:bidi="ar-SA"/>
              </w:rPr>
              <w:t>）标准后，排入姚安县</w:t>
            </w:r>
            <w:r>
              <w:rPr>
                <w:rFonts w:hint="eastAsia" w:eastAsia="宋体" w:cs="Times New Roman"/>
                <w:color w:val="auto"/>
                <w:kern w:val="2"/>
                <w:sz w:val="24"/>
                <w:szCs w:val="24"/>
                <w:lang w:val="en-US" w:eastAsia="zh-CN" w:bidi="ar-SA"/>
              </w:rPr>
              <w:t>市政</w:t>
            </w:r>
            <w:r>
              <w:rPr>
                <w:rFonts w:hint="default" w:ascii="Times New Roman" w:hAnsi="Times New Roman" w:eastAsia="宋体" w:cs="Times New Roman"/>
                <w:color w:val="auto"/>
                <w:kern w:val="2"/>
                <w:sz w:val="24"/>
                <w:szCs w:val="24"/>
                <w:lang w:val="en-US" w:eastAsia="zh-CN" w:bidi="ar-SA"/>
              </w:rPr>
              <w:t>污水管网，最终进入姚安县污水处理厂统一处理。</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b/>
                <w:color w:val="auto"/>
                <w:kern w:val="2"/>
                <w:sz w:val="24"/>
                <w:szCs w:val="24"/>
                <w:lang w:val="en-US" w:eastAsia="zh-CN" w:bidi="ar"/>
              </w:rPr>
              <w:t>（2）供电系统</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项目供电由云南电网有限责任公司姚安供电局供给，供电有保证。</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（3）热水系统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本项目不设置锅炉房，采用太阳能供热。</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kern w:val="2"/>
                <w:highlight w:val="none"/>
              </w:rPr>
              <w:t>、劳动定员及工作制</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劳动定员：全院现有职工</w:t>
            </w:r>
            <w:r>
              <w:rPr>
                <w:rFonts w:hint="default" w:ascii="Times New Roman" w:hAnsi="Times New Roman" w:cs="Times New Roman"/>
                <w:color w:val="auto"/>
                <w:kern w:val="2"/>
                <w:highlight w:val="none"/>
                <w:lang w:val="en-US" w:eastAsia="zh-CN"/>
              </w:rPr>
              <w:t>55</w:t>
            </w:r>
            <w:r>
              <w:rPr>
                <w:rFonts w:hint="default" w:ascii="Times New Roman" w:hAnsi="Times New Roman" w:cs="Times New Roman"/>
                <w:color w:val="auto"/>
                <w:kern w:val="2"/>
                <w:highlight w:val="none"/>
              </w:rPr>
              <w:t>人</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均不在院内食宿</w:t>
            </w:r>
            <w:r>
              <w:rPr>
                <w:rFonts w:hint="default" w:ascii="Times New Roman" w:hAnsi="Times New Roman" w:cs="Times New Roman"/>
                <w:color w:val="auto"/>
                <w:kern w:val="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kern w:val="2"/>
                <w:szCs w:val="24"/>
                <w:highlight w:val="none"/>
                <w:lang w:val="en-US" w:eastAsia="zh-CN"/>
              </w:rPr>
            </w:pPr>
            <w:r>
              <w:rPr>
                <w:rFonts w:hint="default" w:ascii="Times New Roman" w:hAnsi="Times New Roman" w:cs="Times New Roman"/>
                <w:color w:val="auto"/>
                <w:kern w:val="2"/>
                <w:highlight w:val="none"/>
              </w:rPr>
              <w:t>工作制度：</w:t>
            </w:r>
            <w:r>
              <w:rPr>
                <w:rFonts w:hint="default" w:ascii="Times New Roman" w:hAnsi="Times New Roman" w:cs="Times New Roman"/>
                <w:color w:val="auto"/>
                <w:kern w:val="2"/>
                <w:highlight w:val="none"/>
                <w:lang w:eastAsia="zh-CN"/>
              </w:rPr>
              <w:t>医</w:t>
            </w:r>
            <w:r>
              <w:rPr>
                <w:rFonts w:hint="default" w:ascii="Times New Roman" w:hAnsi="Times New Roman" w:cs="Times New Roman"/>
                <w:color w:val="auto"/>
                <w:kern w:val="2"/>
                <w:highlight w:val="none"/>
              </w:rPr>
              <w:t>院365天全年运行，</w:t>
            </w:r>
            <w:r>
              <w:rPr>
                <w:rFonts w:hint="default" w:ascii="Times New Roman" w:hAnsi="Times New Roman" w:cs="Times New Roman"/>
                <w:color w:val="auto"/>
                <w:kern w:val="2"/>
                <w:highlight w:val="none"/>
                <w:lang w:eastAsia="zh-CN"/>
              </w:rPr>
              <w:t>医护人员</w:t>
            </w:r>
            <w:r>
              <w:rPr>
                <w:rFonts w:hint="default" w:ascii="Times New Roman" w:hAnsi="Times New Roman" w:cs="Times New Roman"/>
                <w:color w:val="auto"/>
                <w:kern w:val="2"/>
                <w:szCs w:val="24"/>
                <w:highlight w:val="none"/>
              </w:rPr>
              <w:t>三</w:t>
            </w:r>
            <w:r>
              <w:rPr>
                <w:rFonts w:hint="default" w:ascii="Times New Roman" w:hAnsi="Times New Roman" w:eastAsia="宋体" w:cs="Times New Roman"/>
                <w:color w:val="auto"/>
                <w:kern w:val="2"/>
                <w:szCs w:val="24"/>
                <w:highlight w:val="none"/>
              </w:rPr>
              <w:t>班制，每班工作8小时每天</w:t>
            </w:r>
            <w:r>
              <w:rPr>
                <w:rFonts w:hint="default" w:ascii="Times New Roman" w:hAnsi="Times New Roman" w:eastAsia="宋体" w:cs="Times New Roman"/>
                <w:color w:val="auto"/>
                <w:kern w:val="2"/>
                <w:szCs w:val="24"/>
                <w:highlight w:val="none"/>
                <w:lang w:eastAsia="zh-CN"/>
              </w:rPr>
              <w:t>；行政人员工作制度为每天一班，</w:t>
            </w:r>
            <w:r>
              <w:rPr>
                <w:rFonts w:hint="default" w:ascii="Times New Roman" w:hAnsi="Times New Roman" w:eastAsia="宋体" w:cs="Times New Roman"/>
                <w:color w:val="auto"/>
                <w:kern w:val="2"/>
                <w:szCs w:val="24"/>
                <w:highlight w:val="none"/>
                <w:lang w:val="en-US" w:eastAsia="zh-CN"/>
              </w:rPr>
              <w:t>8h/班。</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7、总平面布置</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lang w:eastAsia="zh-CN"/>
              </w:rPr>
            </w:pPr>
            <w:r>
              <w:rPr>
                <w:rFonts w:hint="default" w:ascii="Times New Roman" w:hAnsi="Times New Roman" w:cs="Times New Roman"/>
                <w:color w:val="auto"/>
                <w:kern w:val="2"/>
                <w:lang w:eastAsia="zh-CN"/>
              </w:rPr>
              <w:t>医</w:t>
            </w:r>
            <w:r>
              <w:rPr>
                <w:rFonts w:hint="default" w:ascii="Times New Roman" w:hAnsi="Times New Roman" w:cs="Times New Roman"/>
                <w:color w:val="auto"/>
                <w:kern w:val="2"/>
              </w:rPr>
              <w:t>院总体布局呈</w:t>
            </w:r>
            <w:r>
              <w:rPr>
                <w:rFonts w:hint="default" w:ascii="Times New Roman" w:hAnsi="Times New Roman" w:cs="Times New Roman"/>
                <w:color w:val="auto"/>
                <w:kern w:val="2"/>
                <w:lang w:val="en-US" w:eastAsia="zh-CN"/>
              </w:rPr>
              <w:t>东西</w:t>
            </w:r>
            <w:r>
              <w:rPr>
                <w:rFonts w:hint="default" w:ascii="Times New Roman" w:hAnsi="Times New Roman" w:cs="Times New Roman"/>
                <w:color w:val="auto"/>
                <w:kern w:val="2"/>
              </w:rPr>
              <w:t>分布；门卫室和消控室位于主出入口</w:t>
            </w:r>
            <w:r>
              <w:rPr>
                <w:rFonts w:hint="default" w:ascii="Times New Roman" w:hAnsi="Times New Roman" w:cs="Times New Roman"/>
                <w:color w:val="auto"/>
                <w:kern w:val="2"/>
                <w:lang w:eastAsia="zh-CN"/>
              </w:rPr>
              <w:t>左侧，方便对外来车辆进行消毒，生活垃圾房和</w:t>
            </w:r>
            <w:r>
              <w:rPr>
                <w:rFonts w:hint="eastAsia" w:cs="Times New Roman"/>
                <w:color w:val="auto"/>
                <w:kern w:val="2"/>
                <w:lang w:eastAsia="zh-CN"/>
              </w:rPr>
              <w:t>医疗废物暂存间</w:t>
            </w:r>
            <w:r>
              <w:rPr>
                <w:rFonts w:hint="default" w:ascii="Times New Roman" w:hAnsi="Times New Roman" w:cs="Times New Roman"/>
                <w:color w:val="auto"/>
                <w:kern w:val="2"/>
                <w:lang w:eastAsia="zh-CN"/>
              </w:rPr>
              <w:t>紧邻门卫室，方便医疗废物以及生活垃圾及时清运，减少交叉感染的风险；住院综合楼位于项目区东面，便于采光，西面空地建设为景观用地及地面停车场，制氧站位于景观花园的北面；污水处理站位于住院部综合楼的南面地下一层，可以很好地减少污水处理站产生的噪声以及臭味</w:t>
            </w:r>
            <w:r>
              <w:rPr>
                <w:rFonts w:hint="eastAsia" w:cs="Times New Roman"/>
                <w:color w:val="auto"/>
                <w:kern w:val="2"/>
                <w:lang w:eastAsia="zh-CN"/>
              </w:rPr>
              <w:t>对周围环境的影响</w:t>
            </w:r>
            <w:r>
              <w:rPr>
                <w:rFonts w:hint="default" w:ascii="Times New Roman" w:hAnsi="Times New Roman" w:cs="Times New Roman"/>
                <w:color w:val="auto"/>
                <w:kern w:val="2"/>
                <w:lang w:eastAsia="zh-CN"/>
              </w:rPr>
              <w:t>。</w:t>
            </w:r>
            <w:r>
              <w:rPr>
                <w:rFonts w:hint="eastAsia" w:cs="Times New Roman"/>
                <w:color w:val="auto"/>
                <w:kern w:val="2"/>
                <w:lang w:eastAsia="zh-CN"/>
              </w:rPr>
              <w:t>备用柴油发电机置于发电机房内，柴油发电机位于地下一层，可很好地减少柴油发电机工作时产生的噪声对周围环境的影响。</w:t>
            </w:r>
            <w:r>
              <w:rPr>
                <w:rFonts w:hint="default" w:ascii="Times New Roman" w:hAnsi="Times New Roman" w:cs="Times New Roman"/>
                <w:color w:val="auto"/>
                <w:kern w:val="2"/>
                <w:lang w:eastAsia="zh-CN"/>
              </w:rPr>
              <w:t>本项目南面是为已建成的原姚安县妇幼保健计划生育服务中心（姚安县妇幼保健院），本项目与姚安县妇幼保健计划生育服务中心（姚安县妇幼保健院）之间采用玻璃廊桥链接，玻璃廊桥</w:t>
            </w:r>
            <w:r>
              <w:rPr>
                <w:rFonts w:hint="eastAsia" w:cs="Times New Roman"/>
                <w:color w:val="auto"/>
                <w:kern w:val="2"/>
                <w:lang w:eastAsia="zh-CN"/>
              </w:rPr>
              <w:t>为</w:t>
            </w:r>
            <w:r>
              <w:rPr>
                <w:rFonts w:hint="default" w:ascii="Times New Roman" w:hAnsi="Times New Roman" w:cs="Times New Roman"/>
                <w:color w:val="auto"/>
                <w:kern w:val="2"/>
                <w:lang w:eastAsia="zh-CN"/>
              </w:rPr>
              <w:t>医护人员和病人</w:t>
            </w:r>
            <w:r>
              <w:rPr>
                <w:rFonts w:hint="eastAsia" w:cs="Times New Roman"/>
                <w:color w:val="auto"/>
                <w:kern w:val="2"/>
                <w:lang w:eastAsia="zh-CN"/>
              </w:rPr>
              <w:t>来往两栋楼之间的主要通道，</w:t>
            </w:r>
            <w:r>
              <w:rPr>
                <w:rFonts w:hint="default" w:ascii="Times New Roman" w:hAnsi="Times New Roman" w:cs="Times New Roman"/>
                <w:color w:val="auto"/>
                <w:kern w:val="2"/>
                <w:lang w:eastAsia="zh-CN"/>
              </w:rPr>
              <w:t>玻璃廊桥位于</w:t>
            </w:r>
            <w:r>
              <w:rPr>
                <w:rFonts w:hint="default" w:ascii="Times New Roman" w:hAnsi="Times New Roman" w:cs="Times New Roman"/>
                <w:color w:val="auto"/>
                <w:kern w:val="2"/>
                <w:lang w:val="en-US" w:eastAsia="zh-CN"/>
              </w:rPr>
              <w:t>2楼</w:t>
            </w:r>
            <w:r>
              <w:rPr>
                <w:rFonts w:hint="default" w:ascii="Times New Roman" w:hAnsi="Times New Roman" w:cs="Times New Roman"/>
                <w:color w:val="auto"/>
                <w:kern w:val="2"/>
                <w:lang w:eastAsia="zh-CN"/>
              </w:rPr>
              <w:t>。</w:t>
            </w:r>
            <w:r>
              <w:rPr>
                <w:rFonts w:hint="eastAsia" w:cs="Times New Roman"/>
                <w:color w:val="auto"/>
                <w:kern w:val="2"/>
                <w:lang w:eastAsia="zh-CN"/>
              </w:rPr>
              <w:t>南侧入口主要为车辆进出入口，住院部综合楼东侧入口为就诊人员主要出入口。</w:t>
            </w:r>
            <w:r>
              <w:rPr>
                <w:rFonts w:hint="default" w:ascii="Times New Roman" w:hAnsi="Times New Roman" w:cs="Times New Roman"/>
                <w:color w:val="auto"/>
                <w:kern w:val="2"/>
                <w:lang w:eastAsia="zh-CN"/>
              </w:rPr>
              <w:t>北侧规划路设置后勤及污物出入口</w:t>
            </w:r>
            <w:r>
              <w:rPr>
                <w:rFonts w:hint="eastAsia" w:cs="Times New Roman"/>
                <w:color w:val="auto"/>
                <w:kern w:val="2"/>
                <w:lang w:eastAsia="zh-CN"/>
              </w:rPr>
              <w:t>，医疗废物及生活垃圾避开医院人群聚集的地方，减少感染风险</w:t>
            </w:r>
            <w:r>
              <w:rPr>
                <w:rFonts w:hint="default" w:ascii="Times New Roman" w:hAnsi="Times New Roman" w:cs="Times New Roman"/>
                <w:color w:val="auto"/>
                <w:kern w:val="2"/>
                <w:lang w:eastAsia="zh-CN"/>
              </w:rPr>
              <w:t>。人车流线：门诊楼在东南角留出宽敞的入口广场空间，以疏导和缓冲大量性的进院人流。</w:t>
            </w:r>
            <w:r>
              <w:rPr>
                <w:rFonts w:hint="eastAsia" w:cs="Times New Roman"/>
                <w:color w:val="auto"/>
                <w:kern w:val="2"/>
                <w:lang w:eastAsia="zh-CN"/>
              </w:rPr>
              <w:t>上述建设内容同时建成，不分期建设。</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rPr>
              <w:t>项目平面布局</w:t>
            </w:r>
            <w:r>
              <w:rPr>
                <w:rFonts w:hint="default" w:ascii="Times New Roman" w:hAnsi="Times New Roman" w:cs="Times New Roman"/>
                <w:color w:val="auto"/>
                <w:kern w:val="2"/>
                <w:lang w:val="en-US" w:eastAsia="zh-CN"/>
              </w:rPr>
              <w:t>基本</w:t>
            </w:r>
            <w:r>
              <w:rPr>
                <w:rFonts w:hint="default" w:ascii="Times New Roman" w:hAnsi="Times New Roman" w:cs="Times New Roman"/>
                <w:color w:val="auto"/>
                <w:kern w:val="2"/>
              </w:rPr>
              <w:t>合理</w:t>
            </w:r>
            <w:r>
              <w:rPr>
                <w:rFonts w:hint="default" w:ascii="Times New Roman" w:hAnsi="Times New Roman" w:cs="Times New Roman"/>
                <w:b/>
                <w:color w:val="auto"/>
                <w:kern w:val="2"/>
              </w:rPr>
              <w:t>。</w:t>
            </w:r>
            <w:r>
              <w:rPr>
                <w:rFonts w:hint="default" w:ascii="Times New Roman" w:hAnsi="Times New Roman" w:cs="Times New Roman"/>
                <w:color w:val="auto"/>
                <w:kern w:val="2"/>
                <w:highlight w:val="none"/>
              </w:rPr>
              <w:t>项目平面布置详见附图3。</w:t>
            </w:r>
          </w:p>
          <w:p>
            <w:pPr>
              <w:pStyle w:val="5"/>
              <w:pageBreakBefore w:val="0"/>
              <w:widowControl w:val="0"/>
              <w:kinsoku/>
              <w:wordWrap/>
              <w:overflowPunct/>
              <w:topLinePunct w:val="0"/>
              <w:autoSpaceDE/>
              <w:autoSpaceDN/>
              <w:bidi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8、环保投资</w:t>
            </w:r>
          </w:p>
          <w:p>
            <w:pPr>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本项目总投资</w:t>
            </w:r>
            <w:r>
              <w:rPr>
                <w:rFonts w:hint="default" w:ascii="Times New Roman" w:hAnsi="Times New Roman" w:eastAsia="宋体" w:cs="Times New Roman"/>
                <w:color w:val="auto"/>
                <w:kern w:val="2"/>
                <w:szCs w:val="24"/>
                <w:lang w:val="en-US" w:eastAsia="zh-CN"/>
              </w:rPr>
              <w:t>20500</w:t>
            </w:r>
            <w:r>
              <w:rPr>
                <w:rFonts w:hint="default" w:ascii="Times New Roman" w:hAnsi="Times New Roman" w:eastAsia="宋体" w:cs="Times New Roman"/>
                <w:color w:val="auto"/>
                <w:kern w:val="2"/>
              </w:rPr>
              <w:t>万元，</w:t>
            </w:r>
            <w:r>
              <w:rPr>
                <w:rFonts w:hint="default" w:ascii="Times New Roman" w:hAnsi="Times New Roman" w:eastAsia="宋体" w:cs="Times New Roman"/>
                <w:color w:val="auto"/>
                <w:kern w:val="2"/>
                <w:highlight w:val="none"/>
              </w:rPr>
              <w:t>其中环保投资</w:t>
            </w:r>
            <w:r>
              <w:rPr>
                <w:rFonts w:hint="eastAsia" w:eastAsia="宋体" w:cs="Times New Roman"/>
                <w:color w:val="auto"/>
                <w:kern w:val="2"/>
                <w:highlight w:val="none"/>
                <w:lang w:eastAsia="zh-CN"/>
              </w:rPr>
              <w:t>154.2</w:t>
            </w:r>
            <w:r>
              <w:rPr>
                <w:rFonts w:hint="default" w:ascii="Times New Roman" w:hAnsi="Times New Roman" w:eastAsia="宋体" w:cs="Times New Roman"/>
                <w:color w:val="auto"/>
                <w:kern w:val="2"/>
                <w:highlight w:val="none"/>
              </w:rPr>
              <w:t>万元，占总投资的</w:t>
            </w:r>
            <w:r>
              <w:rPr>
                <w:rFonts w:hint="eastAsia" w:eastAsia="宋体" w:cs="Times New Roman"/>
                <w:color w:val="auto"/>
                <w:kern w:val="2"/>
                <w:highlight w:val="none"/>
                <w:lang w:eastAsia="zh-CN"/>
              </w:rPr>
              <w:t>0.75</w:t>
            </w:r>
            <w:r>
              <w:rPr>
                <w:rFonts w:hint="default" w:ascii="Times New Roman" w:hAnsi="Times New Roman" w:eastAsia="宋体" w:cs="Times New Roman"/>
                <w:color w:val="auto"/>
                <w:kern w:val="2"/>
                <w:highlight w:val="none"/>
              </w:rPr>
              <w:t>%，</w:t>
            </w:r>
            <w:r>
              <w:rPr>
                <w:rFonts w:hint="default" w:ascii="Times New Roman" w:hAnsi="Times New Roman" w:eastAsia="宋体" w:cs="Times New Roman"/>
                <w:color w:val="auto"/>
                <w:kern w:val="2"/>
              </w:rPr>
              <w:t>环保投资明细详见表2-4。</w:t>
            </w:r>
          </w:p>
          <w:p>
            <w:pPr>
              <w:pStyle w:val="67"/>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表2-4  项目环保投资一览表</w:t>
            </w:r>
          </w:p>
          <w:tbl>
            <w:tblPr>
              <w:tblStyle w:val="37"/>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021"/>
              <w:gridCol w:w="5862"/>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487" w:type="dxa"/>
                  <w:gridSpan w:val="2"/>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治理对象</w:t>
                  </w:r>
                </w:p>
              </w:tc>
              <w:tc>
                <w:tcPr>
                  <w:tcW w:w="5862" w:type="dxa"/>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治理措施及规模</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restart"/>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施工期</w:t>
                  </w: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废水</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施工产生的废水，采用一个容积为</w:t>
                  </w:r>
                  <w:r>
                    <w:rPr>
                      <w:rFonts w:hint="default" w:ascii="Times New Roman" w:hAnsi="Times New Roman" w:cs="Times New Roman"/>
                      <w:b w:val="0"/>
                      <w:bCs w:val="0"/>
                      <w:color w:val="auto"/>
                      <w:kern w:val="2"/>
                      <w:sz w:val="21"/>
                      <w:szCs w:val="21"/>
                      <w:lang w:val="en-US" w:eastAsia="zh-CN"/>
                    </w:rPr>
                    <w:t>5m³的</w:t>
                  </w:r>
                  <w:r>
                    <w:rPr>
                      <w:rFonts w:hint="default" w:ascii="Times New Roman" w:hAnsi="Times New Roman" w:eastAsia="宋体" w:cs="Times New Roman"/>
                      <w:b w:val="0"/>
                      <w:bCs w:val="0"/>
                      <w:color w:val="auto"/>
                      <w:kern w:val="2"/>
                      <w:sz w:val="21"/>
                      <w:szCs w:val="21"/>
                      <w:lang w:eastAsia="zh-CN"/>
                    </w:rPr>
                    <w:t>沉淀池</w:t>
                  </w:r>
                  <w:r>
                    <w:rPr>
                      <w:rFonts w:hint="default" w:ascii="Times New Roman" w:hAnsi="Times New Roman" w:cs="Times New Roman"/>
                      <w:b w:val="0"/>
                      <w:bCs w:val="0"/>
                      <w:color w:val="auto"/>
                      <w:kern w:val="2"/>
                      <w:sz w:val="21"/>
                      <w:szCs w:val="21"/>
                      <w:lang w:eastAsia="zh-CN"/>
                    </w:rPr>
                    <w:t>沉淀。</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废气</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b w:val="0"/>
                      <w:bCs w:val="0"/>
                      <w:color w:val="auto"/>
                      <w:kern w:val="2"/>
                      <w:sz w:val="21"/>
                      <w:szCs w:val="21"/>
                    </w:rPr>
                  </w:pPr>
                  <w:r>
                    <w:rPr>
                      <w:rFonts w:hint="default" w:ascii="Times New Roman" w:hAnsi="Times New Roman" w:cs="Times New Roman"/>
                      <w:b w:val="0"/>
                      <w:bCs w:val="0"/>
                      <w:color w:val="auto"/>
                      <w:kern w:val="2"/>
                      <w:sz w:val="21"/>
                      <w:szCs w:val="21"/>
                    </w:rPr>
                    <w:t>建筑施工扬尘采取</w:t>
                  </w:r>
                  <w:r>
                    <w:rPr>
                      <w:rFonts w:hint="default" w:ascii="Times New Roman" w:hAnsi="Times New Roman" w:cs="Times New Roman"/>
                      <w:b w:val="0"/>
                      <w:bCs w:val="0"/>
                      <w:color w:val="auto"/>
                      <w:kern w:val="2"/>
                      <w:sz w:val="21"/>
                      <w:szCs w:val="21"/>
                      <w:lang w:eastAsia="zh-CN"/>
                    </w:rPr>
                    <w:t>雾化喷淋</w:t>
                  </w:r>
                  <w:r>
                    <w:rPr>
                      <w:rFonts w:hint="default" w:ascii="Times New Roman" w:hAnsi="Times New Roman" w:cs="Times New Roman"/>
                      <w:b w:val="0"/>
                      <w:bCs w:val="0"/>
                      <w:color w:val="auto"/>
                      <w:kern w:val="2"/>
                      <w:sz w:val="21"/>
                      <w:szCs w:val="21"/>
                    </w:rPr>
                    <w:t>、围墙围挡；汽车尾气、装修废气，采取雾化喷淋降尘。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噪声</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合理安排施工，做好告知准备。</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固体废物</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建筑垃圾委托清运；生活垃圾收集后委托当地环卫部门清运处置。</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66" w:type="dxa"/>
                  <w:vMerge w:val="restart"/>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运营期</w:t>
                  </w:r>
                </w:p>
              </w:tc>
              <w:tc>
                <w:tcPr>
                  <w:tcW w:w="1021" w:type="dxa"/>
                  <w:vMerge w:val="restart"/>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雨污分流，屋面及屋外雨水通过院内雨污管网及截排水沟收集后排入市政雨水管网</w:t>
                  </w:r>
                  <w:r>
                    <w:rPr>
                      <w:rFonts w:hint="default" w:ascii="Times New Roman" w:hAnsi="Times New Roman" w:cs="Times New Roman"/>
                      <w:color w:val="auto"/>
                      <w:kern w:val="2"/>
                      <w:sz w:val="21"/>
                      <w:szCs w:val="21"/>
                      <w:lang w:eastAsia="zh-CN"/>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检验室废液收集桶，4只。</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highlight w:val="none"/>
                    </w:rPr>
                    <w:t>污水处理池1个，占地面积150平方米</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污水处理站1座，</w:t>
                  </w:r>
                  <w:r>
                    <w:rPr>
                      <w:rFonts w:hint="default" w:ascii="Times New Roman" w:hAnsi="Times New Roman" w:cs="Times New Roman"/>
                      <w:color w:val="auto"/>
                      <w:kern w:val="2"/>
                      <w:sz w:val="21"/>
                      <w:szCs w:val="21"/>
                      <w:highlight w:val="none"/>
                      <w:lang w:eastAsia="zh-CN"/>
                    </w:rPr>
                    <w:t>处理规模</w:t>
                  </w:r>
                  <w:r>
                    <w:rPr>
                      <w:rFonts w:hint="default" w:ascii="Times New Roman" w:hAnsi="Times New Roman" w:cs="Times New Roman"/>
                      <w:color w:val="auto"/>
                      <w:kern w:val="2"/>
                      <w:sz w:val="21"/>
                      <w:szCs w:val="21"/>
                      <w:highlight w:val="none"/>
                      <w:lang w:val="en-US" w:eastAsia="zh-CN"/>
                    </w:rPr>
                    <w:t>60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/d，规范化污水排放口1个。</w:t>
                  </w:r>
                  <w:r>
                    <w:rPr>
                      <w:rFonts w:hint="default" w:ascii="Times New Roman" w:hAnsi="Times New Roman" w:cs="Times New Roman"/>
                      <w:color w:val="auto"/>
                      <w:kern w:val="2"/>
                      <w:sz w:val="21"/>
                      <w:szCs w:val="21"/>
                      <w:highlight w:val="none"/>
                      <w:lang w:eastAsia="zh-CN"/>
                    </w:rPr>
                    <w:t>脱氯消毒池</w:t>
                  </w:r>
                  <w:r>
                    <w:rPr>
                      <w:rFonts w:hint="default" w:ascii="Times New Roman" w:hAnsi="Times New Roman" w:cs="Times New Roman"/>
                      <w:color w:val="auto"/>
                      <w:kern w:val="2"/>
                      <w:sz w:val="21"/>
                      <w:szCs w:val="21"/>
                      <w:highlight w:val="none"/>
                      <w:lang w:val="en-US" w:eastAsia="zh-CN"/>
                    </w:rPr>
                    <w:t>1个，有效容积20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vertAlign w:val="baseline"/>
                      <w:lang w:eastAsia="zh-CN"/>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66" w:type="dxa"/>
                  <w:vMerge w:val="continue"/>
                  <w:vAlign w:val="center"/>
                </w:tcPr>
                <w:p>
                  <w:pPr>
                    <w:pStyle w:val="146"/>
                    <w:spacing w:line="360" w:lineRule="auto"/>
                    <w:ind w:left="0" w:leftChars="0" w:right="0" w:rightChars="0" w:firstLine="0" w:firstLineChars="0"/>
                    <w:jc w:val="center"/>
                    <w:rPr>
                      <w:color w:val="auto"/>
                    </w:rPr>
                  </w:pPr>
                </w:p>
              </w:tc>
              <w:tc>
                <w:tcPr>
                  <w:tcW w:w="1021" w:type="dxa"/>
                  <w:vMerge w:val="continue"/>
                  <w:vAlign w:val="center"/>
                </w:tcPr>
                <w:p>
                  <w:pPr>
                    <w:pStyle w:val="146"/>
                    <w:spacing w:line="360" w:lineRule="auto"/>
                    <w:ind w:left="0" w:leftChars="0" w:right="0" w:rightChars="0" w:firstLine="0" w:firstLineChars="0"/>
                    <w:jc w:val="center"/>
                    <w:rPr>
                      <w:color w:val="auto"/>
                    </w:rPr>
                  </w:pPr>
                </w:p>
              </w:tc>
              <w:tc>
                <w:tcPr>
                  <w:tcW w:w="5862"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eastAsia="zh-CN"/>
                    </w:rPr>
                    <w:t>新建化粪池一个，有效容积</w:t>
                  </w:r>
                  <w:r>
                    <w:rPr>
                      <w:rFonts w:hint="eastAsia" w:cs="Times New Roman"/>
                      <w:color w:val="auto"/>
                      <w:kern w:val="2"/>
                      <w:sz w:val="21"/>
                      <w:szCs w:val="21"/>
                      <w:highlight w:val="none"/>
                      <w:lang w:val="en-US" w:eastAsia="zh-CN"/>
                    </w:rPr>
                    <w:t>50m³。</w:t>
                  </w:r>
                </w:p>
              </w:tc>
              <w:tc>
                <w:tcPr>
                  <w:tcW w:w="1029" w:type="dxa"/>
                  <w:vAlign w:val="center"/>
                </w:tcPr>
                <w:p>
                  <w:pPr>
                    <w:pStyle w:val="146"/>
                    <w:spacing w:line="360" w:lineRule="auto"/>
                    <w:ind w:left="0" w:leftChars="0" w:right="0" w:rightChars="0" w:firstLine="0" w:firstLineChars="0"/>
                    <w:jc w:val="center"/>
                    <w:rPr>
                      <w:rFonts w:hint="default"/>
                      <w:color w:val="auto"/>
                      <w:lang w:val="en-US" w:eastAsia="zh-CN"/>
                    </w:rPr>
                  </w:pPr>
                  <w:r>
                    <w:rPr>
                      <w:rFonts w:hint="eastAsia"/>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污水处理站产生的废气</w:t>
                  </w:r>
                  <w:r>
                    <w:rPr>
                      <w:rFonts w:hint="eastAsia" w:cs="Times New Roman"/>
                      <w:color w:val="auto"/>
                      <w:kern w:val="2"/>
                      <w:sz w:val="21"/>
                      <w:szCs w:val="21"/>
                      <w:lang w:eastAsia="zh-CN"/>
                    </w:rPr>
                    <w:t>采取污水处理设施</w:t>
                  </w:r>
                  <w:r>
                    <w:rPr>
                      <w:rFonts w:hint="default" w:ascii="Times New Roman" w:hAnsi="Times New Roman" w:cs="Times New Roman"/>
                      <w:color w:val="auto"/>
                      <w:kern w:val="2"/>
                      <w:sz w:val="21"/>
                      <w:szCs w:val="21"/>
                      <w:lang w:eastAsia="zh-CN"/>
                    </w:rPr>
                    <w:t>加盖</w:t>
                  </w:r>
                  <w:r>
                    <w:rPr>
                      <w:rFonts w:hint="eastAsia" w:cs="Times New Roman"/>
                      <w:color w:val="auto"/>
                      <w:kern w:val="2"/>
                      <w:sz w:val="21"/>
                      <w:szCs w:val="21"/>
                      <w:lang w:eastAsia="zh-CN"/>
                    </w:rPr>
                    <w:t>并对污水处理站周围空气进行消毒处理</w:t>
                  </w:r>
                  <w:r>
                    <w:rPr>
                      <w:rFonts w:hint="default" w:ascii="Times New Roman" w:hAnsi="Times New Roman" w:cs="Times New Roman"/>
                      <w:color w:val="auto"/>
                      <w:kern w:val="2"/>
                      <w:sz w:val="21"/>
                      <w:szCs w:val="21"/>
                      <w:lang w:eastAsia="zh-CN"/>
                    </w:rPr>
                    <w:t>。医疗废物暂存间废气采用消毒喷雾对室内及周围空气进行消毒。</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w:t>
                  </w:r>
                  <w:r>
                    <w:rPr>
                      <w:rFonts w:hint="default" w:ascii="Times New Roman" w:hAnsi="Times New Roman" w:cs="Times New Roman"/>
                      <w:color w:val="auto"/>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风机置于密闭的专门风机柜内，风机底座和基础安装减震设施，同时将风机柜设置成半地埋式</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备用发电机置于备用发电机房内；</w:t>
                  </w:r>
                  <w:r>
                    <w:rPr>
                      <w:rFonts w:hint="eastAsia" w:cs="Times New Roman"/>
                      <w:color w:val="auto"/>
                      <w:kern w:val="2"/>
                      <w:sz w:val="21"/>
                      <w:szCs w:val="21"/>
                      <w:lang w:val="en-US" w:eastAsia="zh-CN"/>
                    </w:rPr>
                    <w:t>住院楼</w:t>
                  </w:r>
                  <w:r>
                    <w:rPr>
                      <w:rFonts w:hint="default" w:ascii="Times New Roman" w:hAnsi="Times New Roman" w:cs="Times New Roman"/>
                      <w:color w:val="auto"/>
                      <w:kern w:val="2"/>
                      <w:sz w:val="21"/>
                      <w:szCs w:val="21"/>
                      <w:lang w:val="en-US" w:eastAsia="zh-CN"/>
                    </w:rPr>
                    <w:t>安装隔声门窗；设置减速带；禁鸣标识牌。</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固废</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生活垃圾：大型移动式加盖生活垃圾收集桶、室内垃圾收集桶若干个。</w:t>
                  </w:r>
                  <w:r>
                    <w:rPr>
                      <w:rFonts w:hint="default" w:ascii="Times New Roman" w:hAnsi="Times New Roman" w:cs="Times New Roman"/>
                      <w:color w:val="auto"/>
                      <w:kern w:val="2"/>
                      <w:sz w:val="21"/>
                      <w:szCs w:val="21"/>
                      <w:lang w:eastAsia="zh-CN"/>
                    </w:rPr>
                    <w:t>生活垃圾房</w:t>
                  </w:r>
                  <w:r>
                    <w:rPr>
                      <w:rFonts w:hint="default" w:ascii="Times New Roman" w:hAnsi="Times New Roman" w:cs="Times New Roman"/>
                      <w:color w:val="auto"/>
                      <w:kern w:val="2"/>
                      <w:sz w:val="21"/>
                      <w:szCs w:val="21"/>
                      <w:lang w:val="en-US" w:eastAsia="zh-CN"/>
                    </w:rPr>
                    <w:t>1间，占地面积25.6</w:t>
                  </w:r>
                  <w:r>
                    <w:rPr>
                      <w:rFonts w:hint="default" w:ascii="Times New Roman" w:hAnsi="Times New Roman" w:cs="Times New Roman"/>
                      <w:color w:val="auto"/>
                      <w:kern w:val="2"/>
                      <w:sz w:val="21"/>
                      <w:szCs w:val="21"/>
                    </w:rPr>
                    <w:t>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vertAlign w:val="baseline"/>
                      <w:lang w:eastAsia="zh-CN"/>
                    </w:rPr>
                    <w:t>。</w:t>
                  </w:r>
                  <w:r>
                    <w:rPr>
                      <w:rFonts w:hint="eastAsia" w:cs="Times New Roman"/>
                      <w:color w:val="auto"/>
                      <w:kern w:val="2"/>
                      <w:sz w:val="21"/>
                      <w:szCs w:val="21"/>
                      <w:vertAlign w:val="baseline"/>
                      <w:lang w:eastAsia="zh-CN"/>
                    </w:rPr>
                    <w:t>医疗废物暂存间一间，占地面积</w:t>
                  </w:r>
                  <w:r>
                    <w:rPr>
                      <w:rFonts w:hint="eastAsia" w:cs="Times New Roman"/>
                      <w:color w:val="auto"/>
                      <w:kern w:val="2"/>
                      <w:sz w:val="21"/>
                      <w:szCs w:val="21"/>
                      <w:vertAlign w:val="baseline"/>
                      <w:lang w:val="en-US" w:eastAsia="zh-CN"/>
                    </w:rPr>
                    <w:t>75.6㎡，医疗废物分类暂存。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绿化面积</w:t>
                  </w:r>
                  <w:r>
                    <w:rPr>
                      <w:rFonts w:hint="default" w:ascii="Times New Roman" w:hAnsi="Times New Roman" w:cs="Times New Roman"/>
                      <w:color w:val="auto"/>
                      <w:kern w:val="2"/>
                      <w:sz w:val="21"/>
                      <w:szCs w:val="21"/>
                      <w:lang w:val="en-US" w:eastAsia="zh-CN"/>
                    </w:rPr>
                    <w:t>400</w:t>
                  </w:r>
                  <w:r>
                    <w:rPr>
                      <w:rFonts w:hint="default" w:ascii="Times New Roman" w:hAnsi="Times New Roman" w:cs="Times New Roman"/>
                      <w:color w:val="auto"/>
                      <w:kern w:val="2"/>
                      <w:sz w:val="21"/>
                      <w:szCs w:val="21"/>
                    </w:rPr>
                    <w:t>0m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风险防范</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rPr>
                    <w:t>医疗废物暂存间采用水泥+2mm厚HDPE+环氧树脂，渗透系数≤10</w:t>
                  </w:r>
                  <w:r>
                    <w:rPr>
                      <w:rFonts w:hint="default" w:ascii="Times New Roman" w:hAnsi="Times New Roman" w:eastAsia="宋体" w:cs="Times New Roman"/>
                      <w:color w:val="auto"/>
                      <w:kern w:val="2"/>
                      <w:sz w:val="21"/>
                      <w:szCs w:val="21"/>
                      <w:vertAlign w:val="superscript"/>
                    </w:rPr>
                    <w:t>-10</w:t>
                  </w:r>
                  <w:r>
                    <w:rPr>
                      <w:rFonts w:hint="default" w:ascii="Times New Roman" w:hAnsi="Times New Roman" w:eastAsia="宋体" w:cs="Times New Roman"/>
                      <w:color w:val="auto"/>
                      <w:kern w:val="2"/>
                      <w:sz w:val="21"/>
                      <w:szCs w:val="21"/>
                    </w:rPr>
                    <w:t>cm/s，地面和1.0m高的墙裙必须硬化或贴瓷砖，方便清洁和消毒。</w:t>
                  </w:r>
                  <w:r>
                    <w:rPr>
                      <w:rFonts w:hint="default" w:ascii="Times New Roman" w:hAnsi="Times New Roman" w:eastAsia="宋体" w:cs="Times New Roman"/>
                      <w:color w:val="auto"/>
                      <w:kern w:val="2"/>
                      <w:sz w:val="21"/>
                      <w:szCs w:val="21"/>
                      <w:lang w:eastAsia="zh-CN"/>
                    </w:rPr>
                    <w:t>医疗废物分类暂存。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349" w:type="dxa"/>
                  <w:gridSpan w:val="3"/>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
                      <w:color w:val="auto"/>
                      <w:kern w:val="2"/>
                      <w:sz w:val="21"/>
                      <w:szCs w:val="21"/>
                    </w:rPr>
                    <w:t>总计</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154.2</w:t>
                  </w:r>
                </w:p>
              </w:tc>
            </w:tr>
          </w:tbl>
          <w:p>
            <w:pPr>
              <w:jc w:val="both"/>
              <w:rPr>
                <w:rFonts w:hint="default" w:ascii="Times New Roman" w:hAnsi="Times New Roman" w:cs="Times New Roman"/>
                <w:color w:val="auto"/>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5" w:type="dxa"/>
            <w:vAlign w:val="center"/>
          </w:tcPr>
          <w:p>
            <w:pPr>
              <w:adjustRightInd w:val="0"/>
              <w:snapToGrid w:val="0"/>
              <w:ind w:firstLine="0" w:firstLineChars="0"/>
              <w:jc w:val="center"/>
              <w:rPr>
                <w:rFonts w:cs="宋体"/>
                <w:b/>
                <w:snapToGrid w:val="0"/>
                <w:color w:val="auto"/>
                <w:kern w:val="0"/>
                <w:szCs w:val="24"/>
              </w:rPr>
            </w:pPr>
          </w:p>
          <w:p>
            <w:pPr>
              <w:adjustRightInd w:val="0"/>
              <w:snapToGrid w:val="0"/>
              <w:ind w:firstLine="0" w:firstLineChars="0"/>
              <w:jc w:val="center"/>
              <w:rPr>
                <w:rFonts w:cs="宋体"/>
                <w:b/>
                <w:snapToGrid w:val="0"/>
                <w:color w:val="auto"/>
                <w:kern w:val="0"/>
                <w:szCs w:val="24"/>
              </w:rPr>
            </w:pPr>
          </w:p>
          <w:p>
            <w:pPr>
              <w:adjustRightInd w:val="0"/>
              <w:snapToGrid w:val="0"/>
              <w:ind w:firstLine="0" w:firstLineChars="0"/>
              <w:jc w:val="center"/>
              <w:rPr>
                <w:rFonts w:cs="宋体"/>
                <w:b/>
                <w:color w:val="auto"/>
                <w:kern w:val="0"/>
                <w:szCs w:val="24"/>
              </w:rPr>
            </w:pPr>
            <w:r>
              <w:rPr>
                <w:rFonts w:hint="eastAsia" w:cs="宋体"/>
                <w:b/>
                <w:snapToGrid w:val="0"/>
                <w:color w:val="auto"/>
                <w:kern w:val="0"/>
                <w:szCs w:val="24"/>
              </w:rPr>
              <w:t>工艺流程和产排污</w:t>
            </w:r>
            <w:r>
              <w:rPr>
                <w:rFonts w:hint="eastAsia" w:cs="宋体"/>
                <w:b/>
                <w:color w:val="auto"/>
                <w:kern w:val="0"/>
                <w:szCs w:val="24"/>
              </w:rPr>
              <w:t>环节</w:t>
            </w: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r>
              <w:rPr>
                <w:rFonts w:hint="eastAsia" w:cs="宋体"/>
                <w:b/>
                <w:snapToGrid w:val="0"/>
                <w:color w:val="auto"/>
                <w:kern w:val="0"/>
                <w:szCs w:val="24"/>
              </w:rPr>
              <w:t>工艺流程和产排污</w:t>
            </w:r>
            <w:r>
              <w:rPr>
                <w:rFonts w:hint="eastAsia" w:cs="宋体"/>
                <w:b/>
                <w:color w:val="auto"/>
                <w:kern w:val="0"/>
                <w:szCs w:val="24"/>
              </w:rPr>
              <w:t>环节</w:t>
            </w: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b/>
                <w:color w:val="auto"/>
                <w:kern w:val="0"/>
                <w:szCs w:val="24"/>
              </w:rPr>
            </w:pPr>
          </w:p>
        </w:tc>
        <w:tc>
          <w:tcPr>
            <w:tcW w:w="8479" w:type="dxa"/>
          </w:tcPr>
          <w:p>
            <w:pPr>
              <w:pStyle w:val="5"/>
              <w:numPr>
                <w:ilvl w:val="0"/>
                <w:numId w:val="2"/>
              </w:numPr>
              <w:spacing w:before="326"/>
              <w:ind w:firstLine="482"/>
              <w:jc w:val="both"/>
              <w:rPr>
                <w:rFonts w:hint="eastAsia"/>
                <w:color w:val="auto"/>
              </w:rPr>
            </w:pPr>
            <w:r>
              <w:rPr>
                <w:rFonts w:hint="eastAsia"/>
                <w:color w:val="auto"/>
              </w:rPr>
              <w:t>工艺流程图</w:t>
            </w:r>
          </w:p>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ind w:firstLine="480" w:firstLineChars="200"/>
              <w:jc w:val="both"/>
              <w:textAlignment w:val="auto"/>
              <w:rPr>
                <w:rFonts w:hint="eastAsia"/>
                <w:b w:val="0"/>
                <w:bCs w:val="0"/>
                <w:color w:val="auto"/>
              </w:rPr>
            </w:pPr>
            <w:r>
              <w:rPr>
                <w:rFonts w:hint="eastAsia"/>
                <w:b w:val="0"/>
                <w:bCs w:val="0"/>
                <w:color w:val="auto"/>
              </w:rPr>
              <w:t>本项目为医疗机构类项目，营运期主要为妇女、儿童提供诊治保健服务，营运期间产生的主要污染物包括医务活动过程中的医疗废水、医疗固废、生活垃圾、各动力设备产生的噪声。</w:t>
            </w:r>
          </w:p>
          <w:p>
            <w:pPr>
              <w:ind w:left="0" w:leftChars="0" w:right="0" w:rightChars="0" w:firstLine="0" w:firstLineChars="0"/>
              <w:jc w:val="center"/>
              <w:rPr>
                <w:rFonts w:eastAsia="宋体"/>
                <w:b/>
                <w:bCs/>
                <w:color w:val="auto"/>
                <w:kern w:val="2"/>
                <w:sz w:val="21"/>
                <w:szCs w:val="21"/>
              </w:rPr>
            </w:pPr>
            <w:r>
              <w:rPr>
                <w:rFonts w:hint="eastAsia" w:eastAsiaTheme="minorEastAsia"/>
                <w:color w:val="auto"/>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13335</wp:posOffset>
                  </wp:positionV>
                  <wp:extent cx="5246370" cy="4521835"/>
                  <wp:effectExtent l="0" t="0" r="11430" b="5715"/>
                  <wp:wrapTopAndBottom/>
                  <wp:docPr id="54" name="图片 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1"/>
                          <pic:cNvPicPr>
                            <a:picLocks noChangeAspect="1"/>
                          </pic:cNvPicPr>
                        </pic:nvPicPr>
                        <pic:blipFill>
                          <a:blip r:embed="rId24"/>
                          <a:stretch>
                            <a:fillRect/>
                          </a:stretch>
                        </pic:blipFill>
                        <pic:spPr>
                          <a:xfrm>
                            <a:off x="0" y="0"/>
                            <a:ext cx="5246370" cy="4521835"/>
                          </a:xfrm>
                          <a:prstGeom prst="rect">
                            <a:avLst/>
                          </a:prstGeom>
                        </pic:spPr>
                      </pic:pic>
                    </a:graphicData>
                  </a:graphic>
                </wp:anchor>
              </w:drawing>
            </w:r>
            <w:r>
              <w:rPr>
                <w:rFonts w:eastAsia="宋体"/>
                <w:b/>
                <w:bCs/>
                <w:color w:val="auto"/>
                <w:kern w:val="2"/>
                <w:sz w:val="21"/>
                <w:szCs w:val="21"/>
              </w:rPr>
              <w:t>图2-1 项目运营期</w:t>
            </w:r>
            <w:r>
              <w:rPr>
                <w:rFonts w:hint="eastAsia" w:eastAsia="宋体"/>
                <w:b/>
                <w:bCs/>
                <w:color w:val="auto"/>
                <w:kern w:val="2"/>
                <w:sz w:val="21"/>
                <w:szCs w:val="21"/>
              </w:rPr>
              <w:t>就医</w:t>
            </w:r>
            <w:r>
              <w:rPr>
                <w:rFonts w:eastAsia="宋体"/>
                <w:b/>
                <w:bCs/>
                <w:color w:val="auto"/>
                <w:kern w:val="2"/>
                <w:sz w:val="21"/>
                <w:szCs w:val="21"/>
              </w:rPr>
              <w:t>流程及产污节点示意图</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color w:val="auto"/>
              </w:rPr>
            </w:pPr>
            <w:r>
              <w:rPr>
                <w:rFonts w:hint="eastAsia"/>
                <w:color w:val="auto"/>
              </w:rPr>
              <w:t>2、工艺流程简述</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（1）门诊流程：</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到达医院后先到挂号窗口办理就诊卡，根据挂号单进行检查，医生根据检查结果诊断病情，判断</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是否需要住院治疗，</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根据医生开具的凭据进行缴费，诊断需要住院的</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办理住院手续，无需住院的</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取药后直接离开，或者取药后需要经过治疗方可离开。</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lang w:eastAsia="zh-CN"/>
              </w:rPr>
            </w:pPr>
            <w:r>
              <w:rPr>
                <w:rFonts w:hint="eastAsia" w:eastAsia="宋体" w:cs="Times New Roman"/>
                <w:color w:val="auto"/>
                <w:kern w:val="2"/>
                <w:lang w:eastAsia="zh-CN"/>
              </w:rPr>
              <w:t>医院设立发热门诊，医生根据患者实际诊断情况，决定是否收治，如遇到传染性疾病，医院将根据患者实际情况送至其他设立姚安县人民医院传染科治疗。</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eastAsia="宋体"/>
                <w:color w:val="auto"/>
                <w:kern w:val="2"/>
              </w:rPr>
            </w:pPr>
            <w:r>
              <w:rPr>
                <w:rFonts w:hint="default" w:ascii="Times New Roman" w:hAnsi="Times New Roman" w:eastAsia="宋体" w:cs="Times New Roman"/>
                <w:color w:val="auto"/>
                <w:kern w:val="2"/>
              </w:rPr>
              <w:t>（2）住院流程：当医生判断</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需要住院接受治疗时，</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根据住院单办理住院手续，入院接受治疗。若</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在接收治疗的过程中病情发生恶化，超过本院的能力范围时，需为</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办理转院手续，以确保</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能得到更好的治疗。</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接受住院治疗后病情康复，医生判定</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无需再继续住院治疗时，为其开具出院医嘱，</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办理出院手续，并将费用结算后即可出院。</w:t>
            </w:r>
          </w:p>
          <w:p>
            <w:pPr>
              <w:pStyle w:val="5"/>
              <w:keepNext/>
              <w:keepLines/>
              <w:pageBreakBefore w:val="0"/>
              <w:widowControl w:val="0"/>
              <w:kinsoku/>
              <w:wordWrap/>
              <w:overflowPunct/>
              <w:topLinePunct w:val="0"/>
              <w:autoSpaceDE/>
              <w:autoSpaceDN/>
              <w:bidi w:val="0"/>
              <w:adjustRightInd w:val="0"/>
              <w:snapToGrid w:val="0"/>
              <w:spacing w:before="0" w:beforeLines="0"/>
              <w:ind w:left="0" w:leftChars="0" w:firstLine="482"/>
              <w:jc w:val="both"/>
              <w:textAlignment w:val="auto"/>
              <w:rPr>
                <w:color w:val="auto"/>
              </w:rPr>
            </w:pPr>
            <w:r>
              <w:rPr>
                <w:rFonts w:hint="eastAsia"/>
                <w:color w:val="auto"/>
              </w:rPr>
              <w:t>3、项目主要产污环节</w:t>
            </w:r>
          </w:p>
          <w:p>
            <w:pPr>
              <w:pageBreakBefore w:val="0"/>
              <w:widowControl w:val="0"/>
              <w:kinsoku/>
              <w:wordWrap/>
              <w:overflowPunct/>
              <w:topLinePunct w:val="0"/>
              <w:autoSpaceDE/>
              <w:autoSpaceDN/>
              <w:bidi w:val="0"/>
              <w:ind w:firstLine="480"/>
              <w:textAlignment w:val="auto"/>
              <w:rPr>
                <w:color w:val="auto"/>
              </w:rPr>
            </w:pPr>
            <w:r>
              <w:rPr>
                <w:rFonts w:hint="eastAsia"/>
                <w:color w:val="auto"/>
              </w:rPr>
              <w:t>（1）废气：废水处理站、医院消毒、医疗废物和生活垃圾等产生的异味，发电机废气；</w:t>
            </w:r>
          </w:p>
          <w:p>
            <w:pPr>
              <w:pageBreakBefore w:val="0"/>
              <w:widowControl w:val="0"/>
              <w:kinsoku/>
              <w:wordWrap/>
              <w:overflowPunct/>
              <w:topLinePunct w:val="0"/>
              <w:autoSpaceDE/>
              <w:autoSpaceDN/>
              <w:bidi w:val="0"/>
              <w:ind w:firstLine="480"/>
              <w:textAlignment w:val="auto"/>
              <w:rPr>
                <w:color w:val="auto"/>
              </w:rPr>
            </w:pPr>
            <w:r>
              <w:rPr>
                <w:rFonts w:hint="eastAsia"/>
                <w:color w:val="auto"/>
              </w:rPr>
              <w:t>（2）废水：住院部、门诊部产生的废水；</w:t>
            </w:r>
          </w:p>
          <w:p>
            <w:pPr>
              <w:pageBreakBefore w:val="0"/>
              <w:widowControl w:val="0"/>
              <w:kinsoku/>
              <w:wordWrap/>
              <w:overflowPunct/>
              <w:topLinePunct w:val="0"/>
              <w:autoSpaceDE/>
              <w:autoSpaceDN/>
              <w:bidi w:val="0"/>
              <w:ind w:firstLine="480"/>
              <w:textAlignment w:val="auto"/>
              <w:rPr>
                <w:color w:val="auto"/>
              </w:rPr>
            </w:pPr>
            <w:r>
              <w:rPr>
                <w:rFonts w:hint="eastAsia"/>
                <w:color w:val="auto"/>
              </w:rPr>
              <w:t>（3）固废：生活垃圾、医疗废物、化粪池和</w:t>
            </w:r>
            <w:r>
              <w:rPr>
                <w:rFonts w:hint="eastAsia"/>
                <w:color w:val="auto"/>
                <w:lang w:val="en-US" w:eastAsia="zh-CN"/>
              </w:rPr>
              <w:t>一体化污水处理站</w:t>
            </w:r>
            <w:r>
              <w:rPr>
                <w:rFonts w:hint="eastAsia"/>
                <w:color w:val="auto"/>
              </w:rPr>
              <w:t>污泥等；</w:t>
            </w:r>
          </w:p>
          <w:p>
            <w:pPr>
              <w:pageBreakBefore w:val="0"/>
              <w:widowControl w:val="0"/>
              <w:kinsoku/>
              <w:wordWrap/>
              <w:overflowPunct/>
              <w:topLinePunct w:val="0"/>
              <w:autoSpaceDE/>
              <w:autoSpaceDN/>
              <w:bidi w:val="0"/>
              <w:ind w:firstLine="480"/>
              <w:textAlignment w:val="auto"/>
              <w:rPr>
                <w:color w:val="auto"/>
                <w:kern w:val="0"/>
              </w:rPr>
            </w:pPr>
            <w:r>
              <w:rPr>
                <w:rFonts w:hint="eastAsia"/>
                <w:color w:val="auto"/>
              </w:rPr>
              <w:t>（4）噪声：设备运转过程中产生的噪声、生活噪声。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5" w:type="dxa"/>
          </w:tcPr>
          <w:p>
            <w:pPr>
              <w:ind w:firstLine="0" w:firstLineChars="0"/>
              <w:jc w:val="center"/>
              <w:rPr>
                <w:b/>
                <w:color w:val="auto"/>
                <w:kern w:val="0"/>
                <w:szCs w:val="24"/>
              </w:rPr>
            </w:pPr>
            <w:r>
              <w:rPr>
                <w:rFonts w:hint="eastAsia" w:cs="宋体"/>
                <w:b/>
                <w:bCs/>
                <w:color w:val="auto"/>
                <w:szCs w:val="24"/>
              </w:rPr>
              <w:t>与项目有关的原有环境污染问题</w:t>
            </w:r>
          </w:p>
        </w:tc>
        <w:tc>
          <w:tcPr>
            <w:tcW w:w="8479" w:type="dxa"/>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color w:val="auto"/>
                <w:lang w:eastAsia="zh-CN"/>
              </w:rPr>
            </w:pPr>
            <w:r>
              <w:rPr>
                <w:rFonts w:hint="default"/>
                <w:color w:val="auto"/>
                <w:lang w:eastAsia="zh-CN"/>
              </w:rPr>
              <w:t>项目在空地区域建设，不存在与本项目相关的原有污染问题存在。</w:t>
            </w: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pStyle w:val="183"/>
              <w:ind w:left="0" w:leftChars="0" w:firstLine="0" w:firstLineChars="0"/>
              <w:rPr>
                <w:color w:val="auto"/>
                <w:kern w:val="0"/>
              </w:rPr>
            </w:pPr>
          </w:p>
          <w:p>
            <w:pPr>
              <w:pStyle w:val="183"/>
              <w:rPr>
                <w:color w:val="auto"/>
                <w:kern w:val="0"/>
              </w:rPr>
            </w:pPr>
          </w:p>
          <w:p>
            <w:pPr>
              <w:pStyle w:val="183"/>
              <w:rPr>
                <w:color w:val="auto"/>
                <w:kern w:val="0"/>
              </w:rPr>
            </w:pPr>
          </w:p>
          <w:p>
            <w:pPr>
              <w:pStyle w:val="183"/>
              <w:rPr>
                <w:color w:val="auto"/>
                <w:kern w:val="0"/>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98" w:name="_Toc376855814"/>
      <w:bookmarkStart w:id="99" w:name="_Toc458883640"/>
      <w:bookmarkStart w:id="100" w:name="_Toc341946646"/>
      <w:bookmarkStart w:id="101" w:name="_Toc4990"/>
      <w:bookmarkStart w:id="102" w:name="_Toc68101067"/>
      <w:r>
        <w:rPr>
          <w:rFonts w:hint="eastAsia"/>
          <w:color w:val="auto"/>
        </w:rPr>
        <w:t>三、区域环境质量</w:t>
      </w:r>
      <w:bookmarkEnd w:id="98"/>
      <w:bookmarkEnd w:id="99"/>
      <w:bookmarkEnd w:id="100"/>
      <w:r>
        <w:rPr>
          <w:rFonts w:hint="eastAsia"/>
          <w:color w:val="auto"/>
        </w:rPr>
        <w:t>现状、环境保护目标及评价标准</w:t>
      </w:r>
      <w:bookmarkEnd w:id="101"/>
      <w:bookmarkEnd w:id="102"/>
    </w:p>
    <w:tbl>
      <w:tblPr>
        <w:tblStyle w:val="37"/>
        <w:tblW w:w="93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p>
          <w:p>
            <w:pPr>
              <w:adjustRightInd w:val="0"/>
              <w:snapToGrid w:val="0"/>
              <w:ind w:firstLine="0" w:firstLineChars="0"/>
              <w:jc w:val="center"/>
              <w:rPr>
                <w:rFonts w:cs="Times New Roman" w:asciiTheme="minorEastAsia" w:hAnsiTheme="minorEastAsia"/>
                <w:b/>
                <w:color w:val="auto"/>
                <w:szCs w:val="24"/>
              </w:rPr>
            </w:pPr>
            <w:r>
              <w:rPr>
                <w:rFonts w:hint="eastAsia" w:cs="Times New Roman" w:asciiTheme="minorEastAsia" w:hAnsiTheme="minorEastAsia"/>
                <w:b/>
                <w:color w:val="auto"/>
                <w:szCs w:val="24"/>
              </w:rPr>
              <w:t>区域环境质量现状</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1</w:t>
            </w:r>
            <w:r>
              <w:rPr>
                <w:rFonts w:hint="eastAsia"/>
                <w:color w:val="auto"/>
              </w:rPr>
              <w:t>、大气环境</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rPr>
            </w:pPr>
            <w:r>
              <w:rPr>
                <w:rFonts w:hint="default"/>
                <w:color w:val="auto"/>
              </w:rPr>
              <w:t>本项目位于</w:t>
            </w:r>
            <w:r>
              <w:rPr>
                <w:rFonts w:hint="default"/>
                <w:color w:val="auto"/>
                <w:lang w:eastAsia="zh-CN"/>
              </w:rPr>
              <w:t>姚安</w:t>
            </w:r>
            <w:r>
              <w:rPr>
                <w:rFonts w:hint="default"/>
                <w:color w:val="auto"/>
              </w:rPr>
              <w:t>县内，</w:t>
            </w:r>
            <w:r>
              <w:rPr>
                <w:rFonts w:hint="eastAsia"/>
                <w:color w:val="auto"/>
                <w:sz w:val="24"/>
              </w:rPr>
              <w:t>根据</w:t>
            </w:r>
            <w:r>
              <w:rPr>
                <w:color w:val="auto"/>
                <w:sz w:val="24"/>
              </w:rPr>
              <w:t>楚雄州生态环境局</w:t>
            </w:r>
            <w:r>
              <w:rPr>
                <w:rFonts w:hint="eastAsia"/>
                <w:color w:val="auto"/>
                <w:sz w:val="24"/>
              </w:rPr>
              <w:t>姚安分局在2022年01月07日</w:t>
            </w:r>
            <w:r>
              <w:rPr>
                <w:color w:val="auto"/>
                <w:sz w:val="24"/>
              </w:rPr>
              <w:t>发布的</w:t>
            </w:r>
            <w:r>
              <w:rPr>
                <w:rFonts w:hint="eastAsia"/>
                <w:color w:val="auto"/>
                <w:sz w:val="24"/>
              </w:rPr>
              <w:t>《</w:t>
            </w:r>
            <w:r>
              <w:rPr>
                <w:color w:val="auto"/>
                <w:sz w:val="24"/>
              </w:rPr>
              <w:t>姚安县2021年第四季度环境质量状况通报</w:t>
            </w:r>
            <w:r>
              <w:rPr>
                <w:rFonts w:hint="eastAsia"/>
                <w:color w:val="auto"/>
                <w:sz w:val="24"/>
              </w:rPr>
              <w:t>》，</w:t>
            </w:r>
            <w:r>
              <w:rPr>
                <w:color w:val="auto"/>
                <w:sz w:val="24"/>
              </w:rPr>
              <w:t>2021年第四季度，有效监测天数为92天，其中“优”为92天，环境空气质量优良率为100%，与2020年同期持平。</w:t>
            </w:r>
            <w:r>
              <w:rPr>
                <w:rFonts w:hint="eastAsia"/>
                <w:color w:val="auto"/>
                <w:sz w:val="24"/>
              </w:rPr>
              <w:t>环境空气质量监测结果如下：PM</w:t>
            </w:r>
            <w:r>
              <w:rPr>
                <w:rFonts w:hint="eastAsia"/>
                <w:color w:val="auto"/>
                <w:sz w:val="24"/>
                <w:vertAlign w:val="subscript"/>
              </w:rPr>
              <w:t>10</w:t>
            </w:r>
            <w:r>
              <w:rPr>
                <w:rFonts w:hint="eastAsia"/>
                <w:color w:val="auto"/>
                <w:sz w:val="24"/>
              </w:rPr>
              <w:t>年均值为24μg/m</w:t>
            </w:r>
            <w:r>
              <w:rPr>
                <w:rFonts w:hint="eastAsia"/>
                <w:color w:val="auto"/>
                <w:sz w:val="24"/>
                <w:vertAlign w:val="superscript"/>
              </w:rPr>
              <w:t>3</w:t>
            </w:r>
            <w:r>
              <w:rPr>
                <w:rFonts w:hint="eastAsia"/>
                <w:color w:val="auto"/>
                <w:sz w:val="24"/>
              </w:rPr>
              <w:t>、PM</w:t>
            </w:r>
            <w:r>
              <w:rPr>
                <w:rFonts w:hint="eastAsia"/>
                <w:color w:val="auto"/>
                <w:sz w:val="24"/>
                <w:vertAlign w:val="subscript"/>
              </w:rPr>
              <w:t>2.5</w:t>
            </w:r>
            <w:r>
              <w:rPr>
                <w:rFonts w:hint="eastAsia"/>
                <w:color w:val="auto"/>
                <w:sz w:val="24"/>
              </w:rPr>
              <w:t>为9μg/m</w:t>
            </w:r>
            <w:r>
              <w:rPr>
                <w:rFonts w:hint="eastAsia"/>
                <w:color w:val="auto"/>
                <w:sz w:val="24"/>
                <w:vertAlign w:val="superscript"/>
              </w:rPr>
              <w:t>3</w:t>
            </w:r>
            <w:r>
              <w:rPr>
                <w:rFonts w:hint="eastAsia"/>
                <w:color w:val="auto"/>
                <w:sz w:val="24"/>
              </w:rPr>
              <w:t>、SO</w:t>
            </w:r>
            <w:r>
              <w:rPr>
                <w:rFonts w:hint="eastAsia"/>
                <w:color w:val="auto"/>
                <w:sz w:val="24"/>
                <w:vertAlign w:val="subscript"/>
              </w:rPr>
              <w:t>2</w:t>
            </w:r>
            <w:r>
              <w:rPr>
                <w:rFonts w:hint="eastAsia"/>
                <w:color w:val="auto"/>
                <w:sz w:val="24"/>
              </w:rPr>
              <w:t>为10μg/m</w:t>
            </w:r>
            <w:r>
              <w:rPr>
                <w:rFonts w:hint="eastAsia"/>
                <w:color w:val="auto"/>
                <w:sz w:val="24"/>
                <w:vertAlign w:val="superscript"/>
              </w:rPr>
              <w:t>3</w:t>
            </w:r>
            <w:r>
              <w:rPr>
                <w:rFonts w:hint="eastAsia"/>
                <w:color w:val="auto"/>
                <w:sz w:val="24"/>
              </w:rPr>
              <w:t>。</w:t>
            </w:r>
            <w:r>
              <w:rPr>
                <w:color w:val="auto"/>
                <w:sz w:val="24"/>
              </w:rPr>
              <w:t>项目区环境空气质量现状能够满足《环境空气质量标准》及其修改单（GB3095-2012）中二级标准要求</w:t>
            </w:r>
            <w:r>
              <w:rPr>
                <w:rFonts w:hint="eastAsia"/>
                <w:color w:val="auto"/>
                <w:sz w:val="24"/>
              </w:rPr>
              <w:t>，环境空气质量较好</w:t>
            </w:r>
            <w:r>
              <w:rPr>
                <w:rFonts w:hint="default"/>
                <w:color w:val="auto"/>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rPr>
            </w:pPr>
            <w:r>
              <w:rPr>
                <w:rFonts w:hint="default"/>
                <w:color w:val="auto"/>
              </w:rPr>
              <w:t>本项目位于</w:t>
            </w:r>
            <w:r>
              <w:rPr>
                <w:rFonts w:hint="default"/>
                <w:color w:val="auto"/>
                <w:lang w:val="zh-CN"/>
              </w:rPr>
              <w:t>姚安县栋川镇</w:t>
            </w:r>
            <w:r>
              <w:rPr>
                <w:rFonts w:hint="eastAsia"/>
                <w:color w:val="auto"/>
                <w:lang w:val="zh-CN"/>
              </w:rPr>
              <w:t>下栖霞路与春晖路交汇口西处</w:t>
            </w:r>
            <w:r>
              <w:rPr>
                <w:rFonts w:hint="default"/>
                <w:color w:val="auto"/>
              </w:rPr>
              <w:t>，地处</w:t>
            </w:r>
            <w:r>
              <w:rPr>
                <w:rFonts w:hint="default"/>
                <w:color w:val="auto"/>
                <w:lang w:val="en-US" w:eastAsia="zh-CN"/>
              </w:rPr>
              <w:t>乡镇</w:t>
            </w:r>
            <w:r>
              <w:rPr>
                <w:rFonts w:hint="default"/>
                <w:color w:val="auto"/>
              </w:rPr>
              <w:t>地区，属于《环境空气质量标准》（GB3095-2012）的二类区。经现场踏勘，项目周边除了受乡村生产生活影响外，无较大工业废气污染源，项目区环境空气质量较好。</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2</w:t>
            </w:r>
            <w:r>
              <w:rPr>
                <w:rFonts w:hint="eastAsia"/>
                <w:color w:val="auto"/>
              </w:rPr>
              <w:t>、地表水环境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color w:val="auto"/>
              </w:rPr>
            </w:pPr>
            <w:r>
              <w:rPr>
                <w:rFonts w:hint="default"/>
                <w:color w:val="auto"/>
              </w:rPr>
              <w:t>根据《2019年楚雄州环境质量状况》，和同时根据楚雄州生态环境局发布的全州主要河流水质监测状况月报，姚安县蜻蛉河王家桥监测断面水质类别均为Ⅳ类，水质达到水功能区划水质目标要求。本项目附近地表水为项目</w:t>
            </w:r>
            <w:r>
              <w:rPr>
                <w:rFonts w:hint="default"/>
                <w:color w:val="auto"/>
                <w:lang w:val="en-US" w:eastAsia="zh-CN"/>
              </w:rPr>
              <w:t>东</w:t>
            </w:r>
            <w:r>
              <w:rPr>
                <w:rFonts w:hint="default"/>
                <w:color w:val="auto"/>
              </w:rPr>
              <w:t>面约</w:t>
            </w:r>
            <w:r>
              <w:rPr>
                <w:rFonts w:hint="default"/>
                <w:color w:val="auto"/>
                <w:lang w:val="en-US" w:eastAsia="zh-CN"/>
              </w:rPr>
              <w:t>4000</w:t>
            </w:r>
            <w:r>
              <w:rPr>
                <w:rFonts w:hint="default"/>
                <w:color w:val="auto"/>
              </w:rPr>
              <w:t>m处的</w:t>
            </w:r>
            <w:r>
              <w:rPr>
                <w:rFonts w:hint="default"/>
                <w:color w:val="auto"/>
                <w:lang w:val="en-US" w:eastAsia="zh-CN"/>
              </w:rPr>
              <w:t>蜻岭河</w:t>
            </w:r>
            <w:r>
              <w:rPr>
                <w:rFonts w:hint="default"/>
                <w:color w:val="auto"/>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olor w:val="auto"/>
                <w:lang w:eastAsia="zh-CN"/>
              </w:rPr>
            </w:pPr>
            <w:r>
              <w:rPr>
                <w:rFonts w:hint="eastAsia"/>
                <w:color w:val="auto"/>
                <w:lang w:eastAsia="zh-CN"/>
              </w:rPr>
              <w:t>根据楚雄州生态环境局姚安分局在2022年01月07日发布的《姚安县2021年第四季度环境质量状况通报》，姚安县蜻蛉河王家桥监测断面水质监测情况如下：10月水质监测结果综合评价为Ⅴ类，中度污染，主要超标因子为总磷，11月水质监测结果综合评价为Ⅳ类，轻度污染，主要超标因子为五日生化需氧量，12月水质监测结果综合评价为Ⅲ类，水质状况总体为良。第四季度达到Ⅳ类水功能区划要求。目前，项目所在区域地表水环境质量不稳定，环境承载能力不强。</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3</w:t>
            </w:r>
            <w:r>
              <w:rPr>
                <w:rFonts w:hint="eastAsia"/>
                <w:color w:val="auto"/>
              </w:rPr>
              <w:t>、声环境</w:t>
            </w:r>
          </w:p>
          <w:p>
            <w:pPr>
              <w:ind w:firstLine="480"/>
              <w:rPr>
                <w:rFonts w:hint="default"/>
                <w:color w:val="auto"/>
              </w:rPr>
            </w:pPr>
            <w:r>
              <w:rPr>
                <w:rFonts w:hint="default"/>
                <w:color w:val="auto"/>
              </w:rPr>
              <w:t>本项目位于</w:t>
            </w:r>
            <w:r>
              <w:rPr>
                <w:rFonts w:hint="default"/>
                <w:color w:val="auto"/>
                <w:lang w:eastAsia="zh-CN"/>
              </w:rPr>
              <w:t>姚安县栋川镇</w:t>
            </w:r>
            <w:r>
              <w:rPr>
                <w:rFonts w:hint="eastAsia"/>
                <w:color w:val="auto"/>
                <w:lang w:eastAsia="zh-CN"/>
              </w:rPr>
              <w:t>下栖霞路与春晖路交汇口西处</w:t>
            </w:r>
            <w:r>
              <w:rPr>
                <w:rFonts w:hint="default"/>
                <w:color w:val="auto"/>
              </w:rPr>
              <w:t>，经现场踏勘，项目区除受</w:t>
            </w:r>
            <w:r>
              <w:rPr>
                <w:rFonts w:hint="eastAsia"/>
                <w:color w:val="auto"/>
                <w:lang w:eastAsia="zh-CN"/>
              </w:rPr>
              <w:t>周围居民</w:t>
            </w:r>
            <w:r>
              <w:rPr>
                <w:rFonts w:hint="default"/>
                <w:color w:val="auto"/>
              </w:rPr>
              <w:t>生产生活影响外，项目区无其他工业噪声污染源，项目区声环境质量较好。</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4</w:t>
            </w:r>
            <w:r>
              <w:rPr>
                <w:rFonts w:hint="eastAsia"/>
                <w:color w:val="auto"/>
              </w:rPr>
              <w:t>、生态环境</w:t>
            </w:r>
          </w:p>
          <w:p>
            <w:pPr>
              <w:keepNext w:val="0"/>
              <w:keepLines w:val="0"/>
              <w:widowControl/>
              <w:suppressLineNumbers w:val="0"/>
              <w:jc w:val="both"/>
              <w:rPr>
                <w:color w:val="auto"/>
              </w:rPr>
            </w:pPr>
            <w:r>
              <w:rPr>
                <w:rFonts w:hint="eastAsia"/>
                <w:color w:val="auto"/>
                <w:lang w:val="en-US" w:eastAsia="zh-CN"/>
              </w:rPr>
              <w:t>根据现场调查，项目区域生态环境为城乡生态环境，因人类活动影响，项目区内植被为较为常见的天然次生植被。评价区内生态环境一般，项目拟使用地范围内没有发现国家和省级重点保护野生动、植物，无国家保护动物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6" w:hRule="atLeast"/>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r>
              <w:rPr>
                <w:rFonts w:hint="eastAsia" w:cs="Times New Roman" w:asciiTheme="minorEastAsia" w:hAnsiTheme="minorEastAsia"/>
                <w:b/>
                <w:color w:val="auto"/>
                <w:szCs w:val="24"/>
              </w:rPr>
              <w:t>环境保护目标</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rFonts w:hint="eastAsia"/>
                <w:color w:val="auto"/>
              </w:rPr>
              <w:t>1、大气环境</w:t>
            </w:r>
          </w:p>
          <w:p>
            <w:pPr>
              <w:keepNext w:val="0"/>
              <w:keepLines w:val="0"/>
              <w:widowControl/>
              <w:suppressLineNumbers w:val="0"/>
              <w:jc w:val="both"/>
              <w:rPr>
                <w:rFonts w:hint="eastAsia" w:eastAsia="宋体" w:cs="Times New Roman"/>
                <w:color w:val="auto"/>
                <w:lang w:eastAsia="zh-CN"/>
              </w:rPr>
            </w:pPr>
            <w:r>
              <w:rPr>
                <w:rFonts w:hint="eastAsia"/>
                <w:color w:val="auto"/>
              </w:rPr>
              <w:t>大气环境</w:t>
            </w:r>
            <w:r>
              <w:rPr>
                <w:rFonts w:cs="Times New Roman"/>
                <w:color w:val="auto"/>
              </w:rPr>
              <w:t>按照《环境空气质量标准》（GB3095</w:t>
            </w:r>
            <w:r>
              <w:rPr>
                <w:rFonts w:ascii="宋体" w:hAnsi="宋体" w:eastAsia="宋体" w:cs="Times New Roman"/>
                <w:color w:val="auto"/>
              </w:rPr>
              <w:t>-</w:t>
            </w:r>
            <w:r>
              <w:rPr>
                <w:rFonts w:cs="Times New Roman"/>
                <w:color w:val="auto"/>
              </w:rPr>
              <w:t>2012）</w:t>
            </w:r>
            <w:r>
              <w:rPr>
                <w:rFonts w:hint="eastAsia" w:ascii="宋体" w:hAnsi="宋体" w:eastAsia="宋体" w:cs="宋体"/>
                <w:color w:val="auto"/>
                <w:kern w:val="0"/>
                <w:sz w:val="24"/>
                <w:szCs w:val="24"/>
                <w:lang w:val="en-US" w:eastAsia="zh-CN" w:bidi="ar"/>
              </w:rPr>
              <w:t>二类环境空气功能区进行保护</w:t>
            </w:r>
            <w:r>
              <w:rPr>
                <w:rFonts w:hint="eastAsia" w:eastAsia="宋体" w:cs="Times New Roman"/>
                <w:color w:val="auto"/>
                <w:lang w:eastAsia="zh-CN"/>
              </w:rPr>
              <w:t>，</w:t>
            </w:r>
            <w:r>
              <w:rPr>
                <w:rFonts w:hint="eastAsia"/>
                <w:color w:val="auto"/>
              </w:rPr>
              <w:t>保护目标为</w:t>
            </w:r>
            <w:r>
              <w:rPr>
                <w:rFonts w:hint="eastAsia"/>
                <w:color w:val="auto"/>
                <w:lang w:eastAsia="zh-CN"/>
              </w:rPr>
              <w:t>医院</w:t>
            </w:r>
            <w:r>
              <w:rPr>
                <w:rFonts w:hint="eastAsia"/>
                <w:color w:val="auto"/>
              </w:rPr>
              <w:t>周边500m范围内的</w:t>
            </w:r>
            <w:r>
              <w:rPr>
                <w:rFonts w:hint="eastAsia"/>
                <w:color w:val="auto"/>
                <w:lang w:val="en-US" w:eastAsia="zh-CN"/>
              </w:rPr>
              <w:t>村庄、</w:t>
            </w:r>
            <w:r>
              <w:rPr>
                <w:rFonts w:hint="eastAsia"/>
                <w:color w:val="auto"/>
              </w:rPr>
              <w:t>居民。</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2、声环境</w:t>
            </w:r>
          </w:p>
          <w:p>
            <w:pPr>
              <w:keepNext w:val="0"/>
              <w:keepLines w:val="0"/>
              <w:widowControl/>
              <w:suppressLineNumbers w:val="0"/>
              <w:jc w:val="both"/>
              <w:rPr>
                <w:rFonts w:hint="eastAsia" w:ascii="宋体" w:hAnsi="宋体" w:eastAsia="宋体" w:cs="宋体"/>
                <w:color w:val="auto"/>
                <w:kern w:val="0"/>
                <w:sz w:val="24"/>
                <w:szCs w:val="24"/>
                <w:lang w:val="en-US" w:eastAsia="zh-CN" w:bidi="ar"/>
              </w:rPr>
            </w:pPr>
            <w:r>
              <w:rPr>
                <w:rFonts w:hint="eastAsia"/>
                <w:color w:val="auto"/>
              </w:rPr>
              <w:t>声环境</w:t>
            </w:r>
            <w:r>
              <w:rPr>
                <w:rFonts w:cs="Times New Roman"/>
                <w:color w:val="auto"/>
              </w:rPr>
              <w:t>按照《声环境质量标准》（GB3096</w:t>
            </w:r>
            <w:r>
              <w:rPr>
                <w:rFonts w:ascii="宋体" w:hAnsi="宋体" w:eastAsia="宋体" w:cs="Times New Roman"/>
                <w:color w:val="auto"/>
              </w:rPr>
              <w:t>-</w:t>
            </w:r>
            <w:r>
              <w:rPr>
                <w:rFonts w:cs="Times New Roman"/>
                <w:color w:val="auto"/>
              </w:rPr>
              <w:t>2008）</w:t>
            </w:r>
            <w:r>
              <w:rPr>
                <w:rFonts w:hint="eastAsia"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类环境噪声功能区进行保护，保护范围为项目区周边</w:t>
            </w:r>
            <w:r>
              <w:rPr>
                <w:rFonts w:hint="default" w:ascii="Times New Roman" w:hAnsi="Times New Roman" w:eastAsia="宋体" w:cs="Times New Roman"/>
                <w:color w:val="auto"/>
                <w:kern w:val="0"/>
                <w:sz w:val="24"/>
                <w:szCs w:val="24"/>
                <w:lang w:val="en-US" w:eastAsia="zh-CN" w:bidi="ar"/>
              </w:rPr>
              <w:t>50m</w:t>
            </w:r>
            <w:r>
              <w:rPr>
                <w:rFonts w:hint="eastAsia" w:ascii="宋体" w:hAnsi="宋体" w:eastAsia="宋体" w:cs="宋体"/>
                <w:color w:val="auto"/>
                <w:kern w:val="0"/>
                <w:sz w:val="24"/>
                <w:szCs w:val="24"/>
                <w:lang w:val="en-US" w:eastAsia="zh-CN" w:bidi="ar"/>
              </w:rPr>
              <w:t>范围内的村庄、居民。</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3、地下水环境</w:t>
            </w:r>
          </w:p>
          <w:p>
            <w:pPr>
              <w:ind w:firstLine="480"/>
              <w:rPr>
                <w:rFonts w:cs="Times New Roman"/>
                <w:color w:val="auto"/>
              </w:rPr>
            </w:pPr>
            <w:r>
              <w:rPr>
                <w:rFonts w:hint="eastAsia" w:cs="Times New Roman"/>
                <w:color w:val="auto"/>
              </w:rPr>
              <w:t>根据调查，项目厂界500m范围内居民均使用自来水，无地下水集中式饮用水源和热水、矿泉水、温泉等特殊地下水资源，无地下水敏感目标。</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4、地表水环境</w:t>
            </w:r>
          </w:p>
          <w:p>
            <w:pPr>
              <w:ind w:firstLine="480"/>
              <w:rPr>
                <w:rFonts w:hint="eastAsia" w:cs="Times New Roman"/>
                <w:color w:val="auto"/>
              </w:rPr>
            </w:pPr>
            <w:r>
              <w:rPr>
                <w:rFonts w:hint="eastAsia"/>
                <w:color w:val="auto"/>
              </w:rPr>
              <w:t>项目附近主要地表水为</w:t>
            </w:r>
            <w:r>
              <w:rPr>
                <w:rFonts w:hint="eastAsia"/>
                <w:color w:val="auto"/>
                <w:lang w:eastAsia="zh-CN"/>
              </w:rPr>
              <w:t>医院</w:t>
            </w:r>
            <w:r>
              <w:rPr>
                <w:rFonts w:hint="eastAsia"/>
                <w:color w:val="auto"/>
                <w:lang w:val="en-US" w:eastAsia="zh-CN"/>
              </w:rPr>
              <w:t>东</w:t>
            </w:r>
            <w:r>
              <w:rPr>
                <w:rFonts w:hint="eastAsia"/>
                <w:color w:val="auto"/>
              </w:rPr>
              <w:t>面约</w:t>
            </w:r>
            <w:r>
              <w:rPr>
                <w:rFonts w:hint="eastAsia"/>
                <w:color w:val="auto"/>
                <w:lang w:val="en-US" w:eastAsia="zh-CN"/>
              </w:rPr>
              <w:t>4000</w:t>
            </w:r>
            <w:r>
              <w:rPr>
                <w:rFonts w:hint="eastAsia"/>
                <w:color w:val="auto"/>
              </w:rPr>
              <w:t>m处的蜻岭河。根据</w:t>
            </w:r>
            <w:r>
              <w:rPr>
                <w:rFonts w:hint="eastAsia" w:eastAsia="宋体" w:cs="Times New Roman"/>
                <w:color w:val="auto"/>
              </w:rPr>
              <w:t>《云南省地表水环境功能区划》（2010-2020），蜻蛉河（源头～入龙川江段）水环境功能为工业用水、农业用水，水质类别为</w:t>
            </w:r>
            <w:r>
              <w:rPr>
                <w:rFonts w:hint="eastAsia" w:ascii="宋体" w:hAnsi="宋体" w:cs="宋体"/>
                <w:color w:val="auto"/>
              </w:rPr>
              <w:t>Ⅳ</w:t>
            </w:r>
            <w:r>
              <w:rPr>
                <w:rFonts w:hint="eastAsia" w:eastAsia="宋体" w:cs="Times New Roman"/>
                <w:color w:val="auto"/>
              </w:rPr>
              <w:t>类，项目区地表水环境</w:t>
            </w:r>
            <w:r>
              <w:rPr>
                <w:rFonts w:hint="eastAsia"/>
                <w:color w:val="auto"/>
              </w:rPr>
              <w:t>按</w:t>
            </w:r>
            <w:r>
              <w:rPr>
                <w:rFonts w:hint="eastAsia" w:ascii="宋体" w:hAnsi="宋体" w:cs="宋体"/>
                <w:color w:val="auto"/>
              </w:rPr>
              <w:t>Ⅳ</w:t>
            </w:r>
            <w:r>
              <w:rPr>
                <w:rFonts w:hint="eastAsia" w:cs="Times New Roman"/>
                <w:color w:val="auto"/>
              </w:rPr>
              <w:t>类标准进行保护。</w:t>
            </w:r>
          </w:p>
          <w:p>
            <w:pPr>
              <w:ind w:firstLine="480"/>
              <w:rPr>
                <w:rFonts w:cs="Times New Roman" w:asciiTheme="minorEastAsia" w:hAnsiTheme="minorEastAsia"/>
                <w:bCs/>
                <w:color w:val="auto"/>
              </w:rPr>
            </w:pPr>
            <w:r>
              <w:rPr>
                <w:rFonts w:hint="eastAsia"/>
                <w:color w:val="auto"/>
                <w:kern w:val="0"/>
              </w:rPr>
              <w:t>项目场地及其周围内没有需要特殊保护的文物</w:t>
            </w:r>
            <w:r>
              <w:rPr>
                <w:rFonts w:hint="eastAsia"/>
                <w:color w:val="auto"/>
                <w:spacing w:val="-48"/>
                <w:kern w:val="0"/>
              </w:rPr>
              <w:t>、</w:t>
            </w:r>
            <w:r>
              <w:rPr>
                <w:rFonts w:hint="eastAsia"/>
                <w:color w:val="auto"/>
                <w:kern w:val="0"/>
              </w:rPr>
              <w:t>名胜、古迹和文化及自然遗产。</w:t>
            </w:r>
            <w:r>
              <w:rPr>
                <w:rFonts w:cs="Times New Roman" w:asciiTheme="minorEastAsia" w:hAnsiTheme="minorEastAsia"/>
                <w:bCs/>
                <w:color w:val="auto"/>
              </w:rPr>
              <w:t>本项目主要保护目标</w:t>
            </w:r>
            <w:r>
              <w:rPr>
                <w:rFonts w:hint="eastAsia" w:cs="Times New Roman" w:asciiTheme="minorEastAsia" w:hAnsiTheme="minorEastAsia"/>
                <w:bCs/>
                <w:color w:val="auto"/>
              </w:rPr>
              <w:t>见下表</w:t>
            </w:r>
            <w:r>
              <w:rPr>
                <w:rFonts w:cs="Times New Roman" w:asciiTheme="minorEastAsia" w:hAnsiTheme="minorEastAsia"/>
                <w:bCs/>
                <w:color w:val="auto"/>
              </w:rPr>
              <w:t>。</w:t>
            </w:r>
          </w:p>
          <w:p>
            <w:pPr>
              <w:pStyle w:val="67"/>
              <w:keepNext/>
              <w:keepLines w:val="0"/>
              <w:pageBreakBefore/>
              <w:widowControl w:val="0"/>
              <w:kinsoku/>
              <w:wordWrap/>
              <w:overflowPunct/>
              <w:topLinePunct w:val="0"/>
              <w:autoSpaceDE/>
              <w:autoSpaceDN/>
              <w:bidi w:val="0"/>
              <w:adjustRightInd/>
              <w:snapToGrid w:val="0"/>
              <w:spacing w:before="0" w:after="0" w:line="360" w:lineRule="auto"/>
              <w:ind w:firstLine="0"/>
              <w:textAlignment w:val="auto"/>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表</w:t>
            </w:r>
            <w:r>
              <w:rPr>
                <w:rFonts w:hint="default" w:ascii="Times New Roman" w:hAnsi="Times New Roman" w:cs="Times New Roman"/>
                <w:b/>
                <w:bCs/>
                <w:color w:val="auto"/>
                <w:kern w:val="2"/>
                <w:sz w:val="21"/>
                <w:szCs w:val="21"/>
              </w:rPr>
              <w:t xml:space="preserve">3-1  </w:t>
            </w:r>
            <w:r>
              <w:rPr>
                <w:rFonts w:hint="default" w:ascii="Times New Roman" w:hAnsi="Times New Roman" w:cs="Times New Roman" w:eastAsiaTheme="minorEastAsia"/>
                <w:b/>
                <w:bCs/>
                <w:color w:val="auto"/>
                <w:kern w:val="2"/>
                <w:sz w:val="21"/>
                <w:szCs w:val="21"/>
              </w:rPr>
              <w:t>主要保护目标一览表</w:t>
            </w:r>
          </w:p>
          <w:tbl>
            <w:tblPr>
              <w:tblStyle w:val="37"/>
              <w:tblW w:w="82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91"/>
              <w:gridCol w:w="2008"/>
              <w:gridCol w:w="1258"/>
              <w:gridCol w:w="1215"/>
              <w:gridCol w:w="1613"/>
              <w:gridCol w:w="132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jc w:val="center"/>
              </w:trPr>
              <w:tc>
                <w:tcPr>
                  <w:tcW w:w="791"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w:t>
                  </w: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保护目标</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lang w:eastAsia="zh-CN"/>
                    </w:rPr>
                    <w:t>方位</w:t>
                  </w:r>
                  <w:r>
                    <w:rPr>
                      <w:rFonts w:hint="default" w:ascii="Times New Roman" w:hAnsi="Times New Roman" w:cs="Times New Roman"/>
                      <w:b/>
                      <w:bCs/>
                      <w:color w:val="auto"/>
                      <w:kern w:val="2"/>
                      <w:sz w:val="21"/>
                      <w:szCs w:val="21"/>
                    </w:rPr>
                    <w:t>距离</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人数</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cs="Times New Roman"/>
                      <w:b/>
                      <w:bCs/>
                      <w:color w:val="auto"/>
                      <w:kern w:val="2"/>
                      <w:sz w:val="21"/>
                      <w:szCs w:val="21"/>
                      <w:lang w:val="en-US" w:eastAsia="zh-CN"/>
                    </w:rPr>
                    <w:t>坐标</w:t>
                  </w:r>
                </w:p>
              </w:tc>
              <w:tc>
                <w:tcPr>
                  <w:tcW w:w="132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保护级别</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791"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大气环境</w:t>
                  </w: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zh-CN" w:eastAsia="zh-CN"/>
                    </w:rPr>
                    <w:t>荷城印象新家园小区</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zh-CN"/>
                    </w:rPr>
                  </w:pPr>
                  <w:r>
                    <w:rPr>
                      <w:rFonts w:hint="default" w:ascii="Times New Roman" w:hAnsi="Times New Roman" w:cs="Times New Roman"/>
                      <w:color w:val="auto"/>
                      <w:kern w:val="2"/>
                      <w:sz w:val="21"/>
                      <w:szCs w:val="21"/>
                      <w:lang w:val="zh-CN"/>
                    </w:rPr>
                    <w:t>东面约</w:t>
                  </w:r>
                  <w:r>
                    <w:rPr>
                      <w:rFonts w:hint="eastAsia" w:cs="Times New Roman"/>
                      <w:color w:val="auto"/>
                      <w:kern w:val="2"/>
                      <w:sz w:val="21"/>
                      <w:szCs w:val="21"/>
                      <w:lang w:val="en-US" w:eastAsia="zh-CN"/>
                    </w:rPr>
                    <w:t>70</w:t>
                  </w:r>
                  <w:r>
                    <w:rPr>
                      <w:rFonts w:hint="default" w:ascii="Times New Roman" w:hAnsi="Times New Roman" w:cs="Times New Roman"/>
                      <w:color w:val="auto"/>
                      <w:kern w:val="2"/>
                      <w:sz w:val="21"/>
                      <w:szCs w:val="21"/>
                    </w:rPr>
                    <w:t>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zh-CN"/>
                    </w:rPr>
                  </w:pPr>
                  <w:r>
                    <w:rPr>
                      <w:rFonts w:hint="default" w:ascii="Times New Roman" w:hAnsi="Times New Roman" w:cs="Times New Roman"/>
                      <w:color w:val="auto"/>
                      <w:kern w:val="2"/>
                      <w:sz w:val="21"/>
                      <w:szCs w:val="21"/>
                      <w:lang w:val="en-US" w:eastAsia="zh-CN"/>
                    </w:rPr>
                    <w:t>300户，1100人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E101.229863</w:t>
                  </w:r>
                </w:p>
                <w:p>
                  <w:pPr>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N25.509342</w:t>
                  </w:r>
                </w:p>
              </w:tc>
              <w:tc>
                <w:tcPr>
                  <w:tcW w:w="1322"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《环境空气质量标准》（GB3095-2012）二级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791"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姚安县2012年保障性住房（春晖小区）</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kern w:val="2"/>
                      <w:sz w:val="21"/>
                      <w:szCs w:val="21"/>
                      <w:lang w:val="zh-CN"/>
                    </w:rPr>
                    <w:t>东面约</w:t>
                  </w:r>
                  <w:r>
                    <w:rPr>
                      <w:rFonts w:hint="default" w:ascii="Times New Roman" w:hAnsi="Times New Roman" w:cs="Times New Roman"/>
                      <w:color w:val="auto"/>
                      <w:kern w:val="2"/>
                      <w:sz w:val="21"/>
                      <w:szCs w:val="21"/>
                      <w:lang w:val="en-US" w:eastAsia="zh-CN"/>
                    </w:rPr>
                    <w:t>190</w:t>
                  </w:r>
                  <w:r>
                    <w:rPr>
                      <w:rFonts w:hint="default" w:ascii="Times New Roman" w:hAnsi="Times New Roman" w:cs="Times New Roman"/>
                      <w:color w:val="auto"/>
                      <w:kern w:val="2"/>
                      <w:sz w:val="21"/>
                      <w:szCs w:val="21"/>
                    </w:rPr>
                    <w:t>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400户</w:t>
                  </w:r>
                  <w:r>
                    <w:rPr>
                      <w:rFonts w:hint="default" w:ascii="Times New Roman" w:hAnsi="Times New Roman" w:cs="Times New Roman"/>
                      <w:color w:val="auto"/>
                      <w:kern w:val="2"/>
                      <w:sz w:val="21"/>
                      <w:szCs w:val="21"/>
                      <w:lang w:val="zh-CN"/>
                    </w:rPr>
                    <w:t>，</w:t>
                  </w:r>
                  <w:r>
                    <w:rPr>
                      <w:rFonts w:hint="default" w:ascii="Times New Roman" w:hAnsi="Times New Roman" w:cs="Times New Roman"/>
                      <w:color w:val="auto"/>
                      <w:kern w:val="2"/>
                      <w:sz w:val="21"/>
                      <w:szCs w:val="21"/>
                      <w:lang w:val="en-US" w:eastAsia="zh-CN"/>
                    </w:rPr>
                    <w:t>1300</w:t>
                  </w:r>
                  <w:r>
                    <w:rPr>
                      <w:rFonts w:hint="default" w:ascii="Times New Roman" w:hAnsi="Times New Roman" w:cs="Times New Roman"/>
                      <w:color w:val="auto"/>
                      <w:kern w:val="2"/>
                      <w:sz w:val="21"/>
                      <w:szCs w:val="21"/>
                      <w:lang w:val="zh-CN"/>
                    </w:rPr>
                    <w:t>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E101.229554</w:t>
                  </w:r>
                </w:p>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N25.511188</w:t>
                  </w:r>
                </w:p>
              </w:tc>
              <w:tc>
                <w:tcPr>
                  <w:tcW w:w="1322"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791"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sz w:val="21"/>
                      <w:szCs w:val="21"/>
                    </w:rPr>
                  </w:pP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姚安县疾控中心</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北面约100m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约350人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E101.228195</w:t>
                  </w:r>
                </w:p>
                <w:p>
                  <w:pPr>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N25.510297</w:t>
                  </w:r>
                </w:p>
              </w:tc>
              <w:tc>
                <w:tcPr>
                  <w:tcW w:w="1322"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s="Times New Roman"/>
                      <w:color w:val="auto"/>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467" w:hRule="atLeast"/>
                <w:jc w:val="center"/>
              </w:trPr>
              <w:tc>
                <w:tcPr>
                  <w:tcW w:w="791"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w:t>
                  </w:r>
                </w:p>
              </w:tc>
              <w:tc>
                <w:tcPr>
                  <w:tcW w:w="3266"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蜻岭河</w:t>
                  </w:r>
                </w:p>
              </w:tc>
              <w:tc>
                <w:tcPr>
                  <w:tcW w:w="4150" w:type="dxa"/>
                  <w:gridSpan w:val="3"/>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《地表水环境质量标准》（GB3838-2002）Ⅳ类</w:t>
                  </w:r>
                </w:p>
              </w:tc>
            </w:tr>
          </w:tbl>
          <w:p>
            <w:pPr>
              <w:ind w:left="0" w:leftChars="0" w:firstLine="0" w:firstLineChars="0"/>
              <w:rPr>
                <w:rFonts w:hint="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adjustRightInd w:val="0"/>
              <w:snapToGrid w:val="0"/>
              <w:ind w:left="0" w:leftChars="0" w:right="0" w:rightChars="0" w:firstLine="0" w:firstLineChars="0"/>
              <w:jc w:val="center"/>
              <w:rPr>
                <w:rFonts w:cs="Times New Roman" w:asciiTheme="minorEastAsia" w:hAnsiTheme="minorEastAsia"/>
                <w:b/>
                <w:color w:val="auto"/>
                <w:szCs w:val="24"/>
              </w:rPr>
            </w:pPr>
            <w:r>
              <w:rPr>
                <w:rFonts w:hint="eastAsia" w:cs="Times New Roman" w:asciiTheme="minorEastAsia" w:hAnsiTheme="minorEastAsia"/>
                <w:b/>
                <w:color w:val="auto"/>
                <w:szCs w:val="24"/>
              </w:rPr>
              <w:t>污染物排放控制标准</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1、废气排放标准</w:t>
            </w:r>
          </w:p>
          <w:p>
            <w:pPr>
              <w:ind w:firstLine="480"/>
              <w:rPr>
                <w:color w:val="auto"/>
              </w:rPr>
            </w:pPr>
            <w:r>
              <w:rPr>
                <w:rFonts w:hint="eastAsia"/>
                <w:color w:val="auto"/>
              </w:rPr>
              <w:t>施工期扬尘执行《大气污染物综合排放标准》（GB16297-1996）表2中无组织排放标准，即颗粒物无组织排放监控浓度限值</w:t>
            </w:r>
            <w:r>
              <w:rPr>
                <w:color w:val="auto"/>
              </w:rPr>
              <w:t>≤</w:t>
            </w:r>
            <w:r>
              <w:rPr>
                <w:rFonts w:hint="eastAsia"/>
                <w:color w:val="auto"/>
              </w:rPr>
              <w:t>1.0</w:t>
            </w:r>
            <w:r>
              <w:rPr>
                <w:color w:val="auto"/>
              </w:rPr>
              <w:t>mg/m</w:t>
            </w:r>
            <w:r>
              <w:rPr>
                <w:color w:val="auto"/>
                <w:vertAlign w:val="superscript"/>
              </w:rPr>
              <w:t>3</w:t>
            </w:r>
            <w:r>
              <w:rPr>
                <w:rFonts w:hint="eastAsia"/>
                <w:color w:val="auto"/>
              </w:rPr>
              <w:t>。</w:t>
            </w:r>
          </w:p>
          <w:p>
            <w:pPr>
              <w:ind w:firstLine="480"/>
              <w:rPr>
                <w:rFonts w:hint="eastAsia" w:eastAsiaTheme="minorEastAsia"/>
                <w:color w:val="auto"/>
                <w:lang w:eastAsia="zh-CN"/>
              </w:rPr>
            </w:pPr>
            <w:r>
              <w:rPr>
                <w:rFonts w:hint="eastAsia"/>
                <w:color w:val="auto"/>
              </w:rPr>
              <w:t>运营期</w:t>
            </w:r>
            <w:r>
              <w:rPr>
                <w:color w:val="auto"/>
              </w:rPr>
              <w:t>废水处理站排放的废气执行《医疗机构水污染物排放标准》（GB 18466－2005）表3中</w:t>
            </w:r>
            <w:r>
              <w:rPr>
                <w:rFonts w:hint="eastAsia"/>
                <w:color w:val="auto"/>
              </w:rPr>
              <w:t>污水处理站周边大气污染物最高允许浓度</w:t>
            </w:r>
            <w:r>
              <w:rPr>
                <w:color w:val="auto"/>
              </w:rPr>
              <w:t>标准</w:t>
            </w:r>
            <w:r>
              <w:rPr>
                <w:rFonts w:hint="eastAsia"/>
                <w:color w:val="auto"/>
                <w:lang w:eastAsia="zh-CN"/>
              </w:rPr>
              <w:t>。</w:t>
            </w:r>
          </w:p>
          <w:p>
            <w:pPr>
              <w:pStyle w:val="67"/>
              <w:spacing w:line="360" w:lineRule="auto"/>
              <w:rPr>
                <w:color w:val="auto"/>
                <w:sz w:val="21"/>
                <w:szCs w:val="21"/>
              </w:rPr>
            </w:pPr>
            <w:r>
              <w:rPr>
                <w:rFonts w:hint="eastAsia"/>
                <w:color w:val="auto"/>
                <w:sz w:val="21"/>
                <w:szCs w:val="21"/>
              </w:rPr>
              <w:t>表</w:t>
            </w:r>
            <w:r>
              <w:rPr>
                <w:color w:val="auto"/>
                <w:sz w:val="21"/>
                <w:szCs w:val="21"/>
              </w:rPr>
              <w:t>3-2</w:t>
            </w:r>
            <w:r>
              <w:rPr>
                <w:rFonts w:hint="eastAsia"/>
                <w:color w:val="auto"/>
                <w:sz w:val="21"/>
                <w:szCs w:val="21"/>
              </w:rPr>
              <w:t xml:space="preserve"> </w:t>
            </w:r>
            <w:r>
              <w:rPr>
                <w:color w:val="auto"/>
                <w:sz w:val="21"/>
                <w:szCs w:val="21"/>
              </w:rPr>
              <w:t>污水处理站周边大气污染物最高允许浓度</w:t>
            </w:r>
          </w:p>
          <w:tbl>
            <w:tblPr>
              <w:tblStyle w:val="37"/>
              <w:tblW w:w="82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05"/>
              <w:gridCol w:w="4085"/>
              <w:gridCol w:w="281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59"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控制项目</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硫化氢（mg/m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臭气浓度（无量纲）</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氯气（mg/m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甲烷（指处理站内最高体积百分数％）</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2、噪声排放标准</w:t>
            </w:r>
          </w:p>
          <w:p>
            <w:pPr>
              <w:ind w:firstLine="480"/>
              <w:rPr>
                <w:color w:val="auto"/>
              </w:rPr>
            </w:pPr>
            <w:r>
              <w:rPr>
                <w:rFonts w:hint="eastAsia"/>
                <w:color w:val="auto"/>
              </w:rPr>
              <w:t>施工现场噪声，</w:t>
            </w:r>
            <w:r>
              <w:rPr>
                <w:color w:val="auto"/>
              </w:rPr>
              <w:t>执行GB12523</w:t>
            </w:r>
            <w:r>
              <w:rPr>
                <w:rFonts w:hint="eastAsia"/>
                <w:color w:val="auto"/>
              </w:rPr>
              <w:t>-2011</w:t>
            </w:r>
            <w:r>
              <w:rPr>
                <w:color w:val="auto"/>
              </w:rPr>
              <w:t>《建筑施工场界</w:t>
            </w:r>
            <w:r>
              <w:rPr>
                <w:rFonts w:hint="eastAsia"/>
                <w:color w:val="auto"/>
              </w:rPr>
              <w:t>环境</w:t>
            </w:r>
            <w:r>
              <w:rPr>
                <w:color w:val="auto"/>
              </w:rPr>
              <w:t>噪声</w:t>
            </w:r>
            <w:r>
              <w:rPr>
                <w:rFonts w:hint="eastAsia"/>
                <w:color w:val="auto"/>
              </w:rPr>
              <w:t>排放</w:t>
            </w:r>
            <w:r>
              <w:rPr>
                <w:color w:val="auto"/>
              </w:rPr>
              <w:t>标准》。</w:t>
            </w:r>
          </w:p>
          <w:p>
            <w:pPr>
              <w:pStyle w:val="67"/>
              <w:spacing w:line="360" w:lineRule="auto"/>
              <w:rPr>
                <w:color w:val="auto"/>
                <w:sz w:val="21"/>
                <w:szCs w:val="21"/>
              </w:rPr>
            </w:pPr>
            <w:r>
              <w:rPr>
                <w:rFonts w:hint="eastAsia"/>
                <w:color w:val="auto"/>
                <w:sz w:val="21"/>
                <w:szCs w:val="21"/>
              </w:rPr>
              <w:t xml:space="preserve">表3-3 </w:t>
            </w:r>
            <w:r>
              <w:rPr>
                <w:color w:val="auto"/>
                <w:sz w:val="21"/>
                <w:szCs w:val="21"/>
              </w:rPr>
              <w:t>建筑施工场界</w:t>
            </w:r>
            <w:r>
              <w:rPr>
                <w:rFonts w:hint="eastAsia"/>
                <w:color w:val="auto"/>
                <w:sz w:val="21"/>
                <w:szCs w:val="21"/>
              </w:rPr>
              <w:t>环境</w:t>
            </w:r>
            <w:r>
              <w:rPr>
                <w:color w:val="auto"/>
                <w:sz w:val="21"/>
                <w:szCs w:val="21"/>
              </w:rPr>
              <w:t>噪声</w:t>
            </w:r>
            <w:r>
              <w:rPr>
                <w:rFonts w:hint="eastAsia"/>
                <w:color w:val="auto"/>
                <w:sz w:val="21"/>
                <w:szCs w:val="21"/>
              </w:rPr>
              <w:t xml:space="preserve">排放限值  </w:t>
            </w:r>
            <w:r>
              <w:rPr>
                <w:color w:val="auto"/>
                <w:sz w:val="21"/>
                <w:szCs w:val="21"/>
              </w:rPr>
              <w:t>单位：dB(A)</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915"/>
              <w:gridCol w:w="42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915" w:type="dxa"/>
                  <w:tcBorders>
                    <w:tl2br w:val="nil"/>
                    <w:tr2bl w:val="nil"/>
                  </w:tcBorders>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292" w:type="dxa"/>
                  <w:tcBorders>
                    <w:tl2br w:val="nil"/>
                    <w:tr2bl w:val="nil"/>
                  </w:tcBorders>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915" w:type="dxa"/>
                  <w:tcBorders>
                    <w:tl2br w:val="nil"/>
                    <w:tr2bl w:val="nil"/>
                  </w:tcBorders>
                  <w:vAlign w:val="center"/>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292" w:type="dxa"/>
                  <w:tcBorders>
                    <w:tl2br w:val="nil"/>
                    <w:tr2bl w:val="nil"/>
                  </w:tcBorders>
                  <w:vAlign w:val="center"/>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ind w:firstLine="480"/>
              <w:rPr>
                <w:color w:val="auto"/>
              </w:rPr>
            </w:pPr>
            <w:r>
              <w:rPr>
                <w:color w:val="auto"/>
              </w:rPr>
              <w:t>营运期噪声执行《工业企业厂界环境噪声排放标准》（GB12348-2008）</w:t>
            </w:r>
            <w:r>
              <w:rPr>
                <w:rFonts w:hint="eastAsia"/>
                <w:color w:val="auto"/>
              </w:rPr>
              <w:t>2类标准。</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表3-4 工业企业厂界环境噪声排放标准  Leq：dB（A）</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91"/>
              <w:gridCol w:w="1353"/>
              <w:gridCol w:w="1206"/>
              <w:gridCol w:w="23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91"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w:t>
                  </w:r>
                </w:p>
              </w:tc>
              <w:tc>
                <w:tcPr>
                  <w:tcW w:w="1353"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206"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2357"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91"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厂界四周</w:t>
                  </w:r>
                </w:p>
              </w:tc>
              <w:tc>
                <w:tcPr>
                  <w:tcW w:w="1353"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206"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2357"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3、废水排放标准</w:t>
            </w:r>
          </w:p>
          <w:p>
            <w:pPr>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default" w:ascii="Times New Roman" w:hAnsi="Times New Roman" w:cs="Times New Roman" w:eastAsiaTheme="minorEastAsia"/>
                <w:color w:val="auto"/>
                <w:lang w:eastAsia="zh-CN"/>
              </w:rPr>
              <w:t>项目产生的医疗废水</w:t>
            </w:r>
            <w:r>
              <w:rPr>
                <w:rFonts w:hint="eastAsia" w:ascii="Times New Roman" w:hAnsi="Times New Roman" w:cs="Times New Roman"/>
                <w:color w:val="auto"/>
                <w:lang w:eastAsia="zh-CN"/>
              </w:rPr>
              <w:t>沿污水管网收集后进入化粪池预处理，随后进入</w:t>
            </w:r>
            <w:r>
              <w:rPr>
                <w:rFonts w:hint="default" w:ascii="Times New Roman" w:hAnsi="Times New Roman" w:cs="Times New Roman" w:eastAsiaTheme="minorEastAsia"/>
                <w:color w:val="auto"/>
              </w:rPr>
              <w:t>项目自建的</w:t>
            </w:r>
            <w:r>
              <w:rPr>
                <w:rFonts w:hint="eastAsia" w:ascii="Times New Roman" w:hAnsi="Times New Roman" w:cs="Times New Roman"/>
                <w:color w:val="auto"/>
                <w:lang w:eastAsia="zh-CN"/>
              </w:rPr>
              <w:t>一体化</w:t>
            </w:r>
            <w:r>
              <w:rPr>
                <w:rFonts w:hint="default" w:ascii="Times New Roman" w:hAnsi="Times New Roman" w:cs="Times New Roman" w:eastAsiaTheme="minorEastAsia"/>
                <w:color w:val="auto"/>
              </w:rPr>
              <w:t>污水处理站处理达《医疗机构水污染物排放标准》</w:t>
            </w:r>
            <w:r>
              <w:rPr>
                <w:rFonts w:hint="eastAsia" w:cs="Times New Roman"/>
                <w:color w:val="auto"/>
                <w:lang w:eastAsia="zh-CN"/>
              </w:rPr>
              <w:t>（</w:t>
            </w:r>
            <w:r>
              <w:rPr>
                <w:rFonts w:hint="default" w:ascii="Times New Roman" w:hAnsi="Times New Roman" w:cs="Times New Roman" w:eastAsiaTheme="minorEastAsia"/>
                <w:color w:val="auto"/>
              </w:rPr>
              <w:t>GB18466-2005</w:t>
            </w:r>
            <w:r>
              <w:rPr>
                <w:rFonts w:hint="eastAsia" w:cs="Times New Roman"/>
                <w:color w:val="auto"/>
                <w:lang w:eastAsia="zh-CN"/>
              </w:rPr>
              <w:t>）</w:t>
            </w:r>
            <w:r>
              <w:rPr>
                <w:rFonts w:hint="default" w:ascii="Times New Roman" w:hAnsi="Times New Roman" w:cs="Times New Roman" w:eastAsiaTheme="minorEastAsia"/>
                <w:color w:val="auto"/>
              </w:rPr>
              <w:t>表2中预处理标准</w:t>
            </w:r>
            <w:r>
              <w:rPr>
                <w:rFonts w:hint="eastAsia" w:cs="Times New Roman"/>
                <w:color w:val="auto"/>
                <w:lang w:eastAsia="zh-CN"/>
              </w:rPr>
              <w:t>，氨氮执行</w:t>
            </w:r>
            <w:r>
              <w:rPr>
                <w:rFonts w:hint="default" w:ascii="Times New Roman" w:hAnsi="Times New Roman" w:cs="Times New Roman" w:eastAsiaTheme="minorEastAsia"/>
                <w:color w:val="auto"/>
                <w:lang w:val="en-US" w:eastAsia="zh-CN"/>
              </w:rPr>
              <w:t>《污水排入城镇下水道水质标准》（GB/T31962-2015）表1（</w:t>
            </w:r>
            <w:r>
              <w:rPr>
                <w:rFonts w:hint="eastAsia" w:cs="Times New Roman"/>
                <w:color w:val="auto"/>
                <w:lang w:val="en-US" w:eastAsia="zh-CN"/>
              </w:rPr>
              <w:t>B等级</w:t>
            </w:r>
            <w:r>
              <w:rPr>
                <w:rFonts w:hint="default" w:ascii="Times New Roman" w:hAnsi="Times New Roman" w:cs="Times New Roman" w:eastAsiaTheme="minorEastAsia"/>
                <w:color w:val="auto"/>
                <w:lang w:val="en-US" w:eastAsia="zh-CN"/>
              </w:rPr>
              <w:t>）标准</w:t>
            </w:r>
            <w:r>
              <w:rPr>
                <w:rFonts w:hint="default" w:ascii="Times New Roman" w:hAnsi="Times New Roman" w:cs="Times New Roman" w:eastAsiaTheme="minorEastAsia"/>
                <w:color w:val="auto"/>
              </w:rPr>
              <w:t>后，排入</w:t>
            </w:r>
            <w:r>
              <w:rPr>
                <w:rFonts w:hint="default" w:ascii="Times New Roman" w:hAnsi="Times New Roman" w:cs="Times New Roman" w:eastAsiaTheme="minorEastAsia"/>
                <w:color w:val="auto"/>
                <w:lang w:val="en-US" w:eastAsia="zh-CN"/>
              </w:rPr>
              <w:t>姚安县</w:t>
            </w:r>
            <w:r>
              <w:rPr>
                <w:rFonts w:hint="default" w:ascii="Times New Roman" w:hAnsi="Times New Roman" w:cs="Times New Roman" w:eastAsiaTheme="minorEastAsia"/>
                <w:color w:val="auto"/>
              </w:rPr>
              <w:t>污水管网，最终进入</w:t>
            </w:r>
            <w:r>
              <w:rPr>
                <w:rFonts w:hint="default" w:ascii="Times New Roman" w:hAnsi="Times New Roman" w:cs="Times New Roman" w:eastAsiaTheme="minorEastAsia"/>
                <w:color w:val="auto"/>
                <w:lang w:val="en-US" w:eastAsia="zh-CN"/>
              </w:rPr>
              <w:t>姚安县</w:t>
            </w:r>
            <w:r>
              <w:rPr>
                <w:rFonts w:hint="default" w:ascii="Times New Roman" w:hAnsi="Times New Roman" w:cs="Times New Roman" w:eastAsiaTheme="minorEastAsia"/>
                <w:color w:val="auto"/>
              </w:rPr>
              <w:t>污水处理厂统一处理，标准值详见表</w:t>
            </w:r>
            <w:r>
              <w:rPr>
                <w:rFonts w:hint="default" w:ascii="Times New Roman" w:hAnsi="Times New Roman" w:cs="Times New Roman" w:eastAsiaTheme="minorEastAsia"/>
                <w:color w:val="auto"/>
                <w:lang w:val="en-US" w:eastAsia="zh-CN"/>
              </w:rPr>
              <w:t>3-5</w:t>
            </w:r>
            <w:r>
              <w:rPr>
                <w:rFonts w:hint="default" w:ascii="Times New Roman" w:hAnsi="Times New Roman" w:cs="Times New Roman" w:eastAsiaTheme="minorEastAsia"/>
                <w:color w:val="auto"/>
              </w:rPr>
              <w:t>。</w:t>
            </w:r>
          </w:p>
          <w:p>
            <w:pPr>
              <w:pStyle w:val="67"/>
              <w:spacing w:line="360" w:lineRule="auto"/>
              <w:rPr>
                <w:color w:val="auto"/>
                <w:sz w:val="21"/>
                <w:szCs w:val="21"/>
              </w:rPr>
            </w:pPr>
            <w:r>
              <w:rPr>
                <w:rFonts w:hint="eastAsia"/>
                <w:color w:val="auto"/>
                <w:sz w:val="21"/>
                <w:szCs w:val="21"/>
              </w:rPr>
              <w:t>表3-</w:t>
            </w:r>
            <w:r>
              <w:rPr>
                <w:rFonts w:hint="eastAsia"/>
                <w:color w:val="auto"/>
                <w:sz w:val="21"/>
                <w:szCs w:val="21"/>
                <w:lang w:val="en-US" w:eastAsia="zh-CN"/>
              </w:rPr>
              <w:t>5</w:t>
            </w:r>
            <w:r>
              <w:rPr>
                <w:rFonts w:hint="eastAsia"/>
                <w:color w:val="auto"/>
                <w:sz w:val="21"/>
                <w:szCs w:val="21"/>
              </w:rPr>
              <w:t xml:space="preserve"> </w:t>
            </w:r>
            <w:r>
              <w:rPr>
                <w:rFonts w:hint="eastAsia"/>
                <w:color w:val="auto"/>
                <w:sz w:val="21"/>
                <w:szCs w:val="21"/>
                <w:lang w:val="en-US" w:eastAsia="zh-CN"/>
              </w:rPr>
              <w:t xml:space="preserve"> 污水管网建成后项目废水排放标准</w:t>
            </w:r>
            <w:r>
              <w:rPr>
                <w:rFonts w:hint="eastAsia"/>
                <w:color w:val="auto"/>
                <w:sz w:val="21"/>
                <w:szCs w:val="21"/>
              </w:rPr>
              <w:t xml:space="preserve">  单位：mg/L</w:t>
            </w:r>
          </w:p>
          <w:tbl>
            <w:tblPr>
              <w:tblStyle w:val="38"/>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4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4" w:type="dxa"/>
                  <w:vAlign w:val="center"/>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标准类别</w:t>
                  </w:r>
                </w:p>
              </w:tc>
              <w:tc>
                <w:tcPr>
                  <w:tcW w:w="4969" w:type="dxa"/>
                  <w:vAlign w:val="center"/>
                </w:tcPr>
                <w:p>
                  <w:pPr>
                    <w:pStyle w:val="67"/>
                    <w:keepLines w:val="0"/>
                    <w:kinsoku/>
                    <w:wordWrap/>
                    <w:overflowPunct/>
                    <w:topLinePunct w:val="0"/>
                    <w:autoSpaceDE/>
                    <w:autoSpaceDN/>
                    <w:bidi w:val="0"/>
                    <w:adjustRightInd/>
                    <w:spacing w:before="0" w:after="0" w:line="36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rPr>
                    <w:t>粪大肠菌群数</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MPN/L</w:t>
                  </w:r>
                  <w:r>
                    <w:rPr>
                      <w:rFonts w:hint="default" w:ascii="Times New Roman" w:hAnsi="Times New Roman" w:cs="Times New Roman"/>
                      <w:b w:val="0"/>
                      <w:bCs w:val="0"/>
                      <w:color w:val="auto"/>
                      <w:sz w:val="21"/>
                      <w:szCs w:val="21"/>
                      <w:lang w:eastAsia="zh-CN"/>
                    </w:rPr>
                    <w:t>）</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肠道致病菌</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肠道病毒</w:t>
                  </w:r>
                </w:p>
              </w:tc>
              <w:tc>
                <w:tcPr>
                  <w:tcW w:w="4969" w:type="dxa"/>
                  <w:vAlign w:val="top"/>
                </w:tcPr>
                <w:p>
                  <w:pPr>
                    <w:pStyle w:val="67"/>
                    <w:keepLines w:val="0"/>
                    <w:kinsoku/>
                    <w:wordWrap/>
                    <w:overflowPunct/>
                    <w:topLinePunct w:val="0"/>
                    <w:autoSpaceDE/>
                    <w:autoSpaceDN/>
                    <w:bidi w:val="0"/>
                    <w:adjustRightInd/>
                    <w:spacing w:before="0" w:after="0" w:line="360" w:lineRule="auto"/>
                    <w:ind w:firstLine="0" w:firstLineChars="0"/>
                    <w:textAlignment w:val="auto"/>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w:t>
                  </w:r>
                  <w:r>
                    <w:rPr>
                      <w:rFonts w:hint="eastAsia" w:cs="Times New Roman"/>
                      <w:b w:val="0"/>
                      <w:bCs w:val="0"/>
                      <w:color w:val="auto"/>
                      <w:sz w:val="21"/>
                      <w:szCs w:val="21"/>
                      <w:vertAlign w:val="baseline"/>
                      <w:lang w:val="en-US" w:eastAsia="zh-CN"/>
                    </w:rPr>
                    <w:t>（无量纲）</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COD</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BOD</w:t>
                  </w:r>
                  <w:r>
                    <w:rPr>
                      <w:rFonts w:hint="eastAsia" w:cs="Times New Roman"/>
                      <w:b w:val="0"/>
                      <w:bCs w:val="0"/>
                      <w:color w:val="auto"/>
                      <w:sz w:val="21"/>
                      <w:szCs w:val="21"/>
                      <w:vertAlign w:val="subscript"/>
                      <w:lang w:val="en-US" w:eastAsia="zh-CN"/>
                    </w:rPr>
                    <w:t>5</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SS</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动植物油</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阴离子表面活性剂</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色度/（稀释倍数）</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挥发酚</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总氰化物</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总汞</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总镉</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总铬</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六价铬</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总砷</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总铅</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总银</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总α（Bq/L）</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总β（Bq/L）</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总余氯</w:t>
                  </w:r>
                  <w:r>
                    <w:rPr>
                      <w:rFonts w:hint="default" w:ascii="Times New Roman" w:hAnsi="Times New Roman" w:eastAsia="宋体" w:cs="Times New Roman"/>
                      <w:color w:val="auto"/>
                      <w:kern w:val="0"/>
                      <w:sz w:val="21"/>
                      <w:szCs w:val="21"/>
                      <w:vertAlign w:val="superscript"/>
                      <w:lang w:val="en-US" w:eastAsia="zh-CN" w:bidi="ar"/>
                    </w:rPr>
                    <w:t xml:space="preserve"> 1），2）</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氨氮</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53" w:type="dxa"/>
                  <w:gridSpan w:val="2"/>
                  <w:vAlign w:val="top"/>
                </w:tcPr>
                <w:p>
                  <w:pPr>
                    <w:keepLines w:val="0"/>
                    <w:widowControl/>
                    <w:kinsoku/>
                    <w:wordWrap/>
                    <w:overflowPunct/>
                    <w:topLinePunct w:val="0"/>
                    <w:autoSpaceDE/>
                    <w:autoSpaceDN/>
                    <w:bidi w:val="0"/>
                    <w:adjustRightInd/>
                    <w:spacing w:beforeLines="0" w:afterLines="0"/>
                    <w:ind w:firstLine="0" w:firstLineChars="0"/>
                    <w:jc w:val="both"/>
                    <w:textAlignment w:val="auto"/>
                    <w:rPr>
                      <w:rFonts w:hint="default"/>
                      <w:b w:val="0"/>
                      <w:bCs w:val="0"/>
                      <w:color w:val="auto"/>
                      <w:sz w:val="18"/>
                      <w:szCs w:val="18"/>
                    </w:rPr>
                  </w:pPr>
                  <w:r>
                    <w:rPr>
                      <w:rFonts w:hint="eastAsia"/>
                      <w:b w:val="0"/>
                      <w:bCs w:val="0"/>
                      <w:color w:val="auto"/>
                      <w:sz w:val="18"/>
                      <w:szCs w:val="18"/>
                    </w:rPr>
                    <w:t>注: 1)采用含氯消毒剂消毒的工艺控制要求为:</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default"/>
                      <w:b w:val="0"/>
                      <w:bCs w:val="0"/>
                      <w:color w:val="auto"/>
                      <w:sz w:val="18"/>
                      <w:szCs w:val="18"/>
                    </w:rPr>
                  </w:pPr>
                  <w:r>
                    <w:rPr>
                      <w:rFonts w:hint="eastAsia"/>
                      <w:b w:val="0"/>
                      <w:bCs w:val="0"/>
                      <w:color w:val="auto"/>
                      <w:sz w:val="18"/>
                      <w:szCs w:val="18"/>
                    </w:rPr>
                    <w:t xml:space="preserve">排放标准:消毒接触池接触时间≥1 h,接触池出口总余氯 3~ 10 mg/L。 </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eastAsia"/>
                      <w:b w:val="0"/>
                      <w:bCs w:val="0"/>
                      <w:color w:val="auto"/>
                      <w:sz w:val="18"/>
                      <w:szCs w:val="18"/>
                    </w:rPr>
                  </w:pPr>
                  <w:r>
                    <w:rPr>
                      <w:rFonts w:hint="eastAsia"/>
                      <w:b w:val="0"/>
                      <w:bCs w:val="0"/>
                      <w:color w:val="auto"/>
                      <w:sz w:val="18"/>
                      <w:szCs w:val="18"/>
                    </w:rPr>
                    <w:t xml:space="preserve">预处理标准:消毒接触池接触时间≥1 h,接触池出口总余氯 2~8 mg/L。 </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eastAsia"/>
                      <w:b w:val="0"/>
                      <w:bCs w:val="0"/>
                      <w:color w:val="auto"/>
                      <w:sz w:val="18"/>
                      <w:szCs w:val="18"/>
                    </w:rPr>
                  </w:pPr>
                  <w:r>
                    <w:rPr>
                      <w:rFonts w:hint="eastAsia"/>
                      <w:b w:val="0"/>
                      <w:bCs w:val="0"/>
                      <w:color w:val="auto"/>
                      <w:sz w:val="18"/>
                      <w:szCs w:val="18"/>
                      <w:lang w:val="en-US" w:eastAsia="zh-CN"/>
                    </w:rPr>
                    <w:t>2）</w:t>
                  </w:r>
                  <w:r>
                    <w:rPr>
                      <w:rFonts w:hint="eastAsia"/>
                      <w:b w:val="0"/>
                      <w:bCs w:val="0"/>
                      <w:color w:val="auto"/>
                      <w:sz w:val="18"/>
                      <w:szCs w:val="18"/>
                    </w:rPr>
                    <w:t>采用其他消毒剂对总余氯不做要求。</w:t>
                  </w:r>
                </w:p>
                <w:p>
                  <w:pPr>
                    <w:keepLines w:val="0"/>
                    <w:numPr>
                      <w:ilvl w:val="0"/>
                      <w:numId w:val="0"/>
                    </w:numPr>
                    <w:kinsoku/>
                    <w:wordWrap/>
                    <w:overflowPunct/>
                    <w:topLinePunct w:val="0"/>
                    <w:autoSpaceDE/>
                    <w:autoSpaceDN/>
                    <w:bidi w:val="0"/>
                    <w:adjustRightInd/>
                    <w:textAlignment w:val="auto"/>
                    <w:rPr>
                      <w:rFonts w:hint="default"/>
                      <w:b w:val="0"/>
                      <w:bCs w:val="0"/>
                      <w:color w:val="auto"/>
                      <w:sz w:val="18"/>
                      <w:szCs w:val="18"/>
                      <w:lang w:val="en-US" w:eastAsia="zh-CN"/>
                    </w:rPr>
                  </w:pPr>
                  <w:r>
                    <w:rPr>
                      <w:rFonts w:hint="eastAsia"/>
                      <w:b w:val="0"/>
                      <w:bCs w:val="0"/>
                      <w:color w:val="auto"/>
                      <w:sz w:val="18"/>
                      <w:szCs w:val="18"/>
                      <w:lang w:val="en-US" w:eastAsia="zh-CN"/>
                    </w:rPr>
                    <w:t>3）氨氮执行《污水排入城镇下水道水质标准》（GB/T31962-2015）表1（B等级）标准。</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4、固废</w:t>
            </w:r>
          </w:p>
          <w:p>
            <w:pPr>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default" w:ascii="Times New Roman" w:hAnsi="Times New Roman" w:cs="Times New Roman" w:eastAsiaTheme="minorEastAsia"/>
                <w:color w:val="auto"/>
              </w:rPr>
              <w:t>本项目医疗废物执行《医疗废物处理处置污染控制标准》（GB39707-2020）和《危险废物贮存污染控制标准》（GB18597-2001），废水处理站污泥</w:t>
            </w:r>
            <w:r>
              <w:rPr>
                <w:rFonts w:hint="eastAsia" w:ascii="Times New Roman" w:hAnsi="Times New Roman" w:cs="Times New Roman"/>
                <w:color w:val="auto"/>
                <w:lang w:eastAsia="zh-CN"/>
              </w:rPr>
              <w:t>采用熟石灰消毒后，</w:t>
            </w:r>
            <w:r>
              <w:rPr>
                <w:rFonts w:hint="default" w:ascii="Times New Roman" w:hAnsi="Times New Roman" w:cs="Times New Roman" w:eastAsiaTheme="minorEastAsia"/>
                <w:color w:val="auto"/>
              </w:rPr>
              <w:t>执行《医疗机构水污染排放标准》（GB18466-2005）中的污泥控制标准。</w:t>
            </w:r>
          </w:p>
          <w:p>
            <w:pPr>
              <w:pStyle w:val="67"/>
              <w:keepNext/>
              <w:keepLines w:val="0"/>
              <w:pageBreakBefore/>
              <w:widowControl w:val="0"/>
              <w:kinsoku/>
              <w:wordWrap/>
              <w:overflowPunct/>
              <w:topLinePunct w:val="0"/>
              <w:autoSpaceDE/>
              <w:autoSpaceDN/>
              <w:bidi w:val="0"/>
              <w:adjustRightInd/>
              <w:snapToGrid w:val="0"/>
              <w:spacing w:before="0" w:after="0" w:line="360" w:lineRule="auto"/>
              <w:textAlignment w:val="auto"/>
              <w:rPr>
                <w:color w:val="auto"/>
                <w:sz w:val="21"/>
                <w:szCs w:val="21"/>
              </w:rPr>
            </w:pPr>
            <w:r>
              <w:rPr>
                <w:rFonts w:hint="eastAsia"/>
                <w:color w:val="auto"/>
                <w:sz w:val="21"/>
                <w:szCs w:val="21"/>
              </w:rPr>
              <w:t>表3-</w:t>
            </w:r>
            <w:r>
              <w:rPr>
                <w:rFonts w:hint="eastAsia"/>
                <w:color w:val="auto"/>
                <w:sz w:val="21"/>
                <w:szCs w:val="21"/>
                <w:lang w:val="en-US" w:eastAsia="zh-CN"/>
              </w:rPr>
              <w:t>6</w:t>
            </w:r>
            <w:r>
              <w:rPr>
                <w:rFonts w:hint="eastAsia"/>
                <w:color w:val="auto"/>
                <w:sz w:val="21"/>
                <w:szCs w:val="21"/>
              </w:rPr>
              <w:t xml:space="preserve"> </w:t>
            </w:r>
            <w:r>
              <w:rPr>
                <w:color w:val="auto"/>
                <w:sz w:val="21"/>
                <w:szCs w:val="21"/>
              </w:rPr>
              <w:t>医疗机构污泥排放标准值</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26"/>
              <w:gridCol w:w="1479"/>
              <w:gridCol w:w="1325"/>
              <w:gridCol w:w="1144"/>
              <w:gridCol w:w="1103"/>
              <w:gridCol w:w="143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72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医疗机构类别</w:t>
                  </w:r>
                </w:p>
              </w:tc>
              <w:tc>
                <w:tcPr>
                  <w:tcW w:w="1479"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粪大肠菌群数</w:t>
                  </w:r>
                </w:p>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（MPN/g）</w:t>
                  </w:r>
                </w:p>
              </w:tc>
              <w:tc>
                <w:tcPr>
                  <w:tcW w:w="132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肠道致病菌</w:t>
                  </w:r>
                </w:p>
              </w:tc>
              <w:tc>
                <w:tcPr>
                  <w:tcW w:w="114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肠道病毒</w:t>
                  </w:r>
                </w:p>
              </w:tc>
              <w:tc>
                <w:tcPr>
                  <w:tcW w:w="1103"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结核杆菌</w:t>
                  </w:r>
                </w:p>
              </w:tc>
              <w:tc>
                <w:tcPr>
                  <w:tcW w:w="1430"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蛔虫卵死亡率(%)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72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综合性医疗机构</w:t>
                  </w:r>
                </w:p>
              </w:tc>
              <w:tc>
                <w:tcPr>
                  <w:tcW w:w="1479"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32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4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03"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30"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&gt;95</w:t>
                  </w:r>
                </w:p>
              </w:tc>
            </w:tr>
          </w:tbl>
          <w:p>
            <w:pPr>
              <w:autoSpaceDE w:val="0"/>
              <w:autoSpaceDN w:val="0"/>
              <w:adjustRightInd w:val="0"/>
              <w:snapToGrid w:val="0"/>
              <w:spacing w:line="240" w:lineRule="auto"/>
              <w:ind w:firstLine="0" w:firstLineChars="0"/>
              <w:jc w:val="left"/>
              <w:rPr>
                <w:rFonts w:ascii="仿宋" w:eastAsia="仿宋" w:cs="仿宋" w:hAnsiTheme="minorHAnsi"/>
                <w:color w:val="auto"/>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r>
              <w:rPr>
                <w:rFonts w:hint="eastAsia" w:cs="Times New Roman" w:asciiTheme="minorEastAsia" w:hAnsiTheme="minorEastAsia"/>
                <w:b/>
                <w:color w:val="auto"/>
                <w:szCs w:val="24"/>
              </w:rPr>
              <w:t>总量控制指标</w:t>
            </w:r>
          </w:p>
        </w:tc>
        <w:tc>
          <w:tcPr>
            <w:tcW w:w="8423" w:type="dxa"/>
          </w:tcPr>
          <w:p>
            <w:pPr>
              <w:ind w:firstLine="480"/>
              <w:rPr>
                <w:rFonts w:hint="eastAsia"/>
                <w:color w:val="auto"/>
              </w:rPr>
            </w:pPr>
            <w:r>
              <w:rPr>
                <w:rFonts w:hint="eastAsia"/>
                <w:color w:val="auto"/>
              </w:rPr>
              <w:t>根据《建设项目环境影响报告表编制技术指南（污染影响类）（试行）》，确定本项目总量控制指标如下：</w:t>
            </w:r>
          </w:p>
          <w:p>
            <w:pPr>
              <w:ind w:firstLine="480"/>
              <w:rPr>
                <w:rFonts w:hint="eastAsia" w:eastAsiaTheme="minorEastAsia"/>
                <w:color w:val="auto"/>
                <w:lang w:val="en-US" w:eastAsia="zh-CN"/>
              </w:rPr>
            </w:pPr>
            <w:r>
              <w:rPr>
                <w:rFonts w:hint="eastAsia"/>
                <w:color w:val="auto"/>
                <w:lang w:eastAsia="zh-CN"/>
              </w:rPr>
              <w:t>无。</w:t>
            </w: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left="0" w:leftChars="0" w:firstLine="0" w:firstLineChars="0"/>
              <w:rPr>
                <w:rFonts w:hint="eastAsia"/>
                <w:color w:val="auto"/>
                <w:lang w:val="en-US" w:eastAsia="zh-CN"/>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103" w:name="_Toc341946647"/>
      <w:bookmarkStart w:id="104" w:name="_Toc376855815"/>
      <w:bookmarkStart w:id="105" w:name="_Toc458883641"/>
      <w:bookmarkStart w:id="106" w:name="_Toc68101068"/>
      <w:bookmarkStart w:id="107" w:name="_Toc22527"/>
      <w:r>
        <w:rPr>
          <w:rFonts w:hint="eastAsia"/>
          <w:color w:val="auto"/>
        </w:rPr>
        <w:t>四、</w:t>
      </w:r>
      <w:bookmarkEnd w:id="103"/>
      <w:bookmarkEnd w:id="104"/>
      <w:bookmarkEnd w:id="105"/>
      <w:r>
        <w:rPr>
          <w:rFonts w:hint="eastAsia"/>
          <w:color w:val="auto"/>
        </w:rPr>
        <w:t>主要环境影响和保护措施</w:t>
      </w:r>
      <w:bookmarkEnd w:id="106"/>
      <w:bookmarkEnd w:id="107"/>
    </w:p>
    <w:tbl>
      <w:tblPr>
        <w:tblStyle w:val="37"/>
        <w:tblpPr w:leftFromText="180" w:rightFromText="180" w:vertAnchor="text" w:tblpXSpec="center" w:tblpY="1"/>
        <w:tblOverlap w:val="never"/>
        <w:tblW w:w="96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6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37" w:hRule="atLeast"/>
        </w:trPr>
        <w:tc>
          <w:tcPr>
            <w:tcW w:w="959" w:type="dxa"/>
            <w:vAlign w:val="center"/>
          </w:tcPr>
          <w:p>
            <w:pPr>
              <w:ind w:firstLine="0" w:firstLineChars="0"/>
              <w:jc w:val="center"/>
              <w:rPr>
                <w:rFonts w:cs="Times New Roman" w:asciiTheme="minorEastAsia" w:hAnsiTheme="minorEastAsia"/>
                <w:b/>
                <w:bCs/>
                <w:color w:val="auto"/>
                <w:szCs w:val="20"/>
              </w:rPr>
            </w:pPr>
            <w:r>
              <w:rPr>
                <w:rFonts w:hint="eastAsia" w:cs="Times New Roman" w:asciiTheme="minorEastAsia" w:hAnsiTheme="minorEastAsia"/>
                <w:b/>
                <w:bCs/>
                <w:color w:val="auto"/>
                <w:szCs w:val="20"/>
              </w:rPr>
              <w:t>施工期环境保护措施</w:t>
            </w:r>
          </w:p>
        </w:tc>
        <w:tc>
          <w:tcPr>
            <w:tcW w:w="8669"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一</w:t>
            </w:r>
            <w:r>
              <w:rPr>
                <w:rFonts w:hint="default" w:ascii="Times New Roman" w:hAnsi="Times New Roman" w:eastAsia="宋体" w:cs="Times New Roman"/>
                <w:b/>
                <w:bCs/>
                <w:color w:val="auto"/>
                <w:sz w:val="24"/>
                <w:szCs w:val="20"/>
                <w:lang w:eastAsia="zh-CN"/>
              </w:rPr>
              <w:t>、</w:t>
            </w:r>
            <w:r>
              <w:rPr>
                <w:rFonts w:hint="default" w:ascii="Times New Roman" w:hAnsi="Times New Roman" w:eastAsia="宋体" w:cs="Times New Roman"/>
                <w:b/>
                <w:bCs/>
                <w:color w:val="auto"/>
                <w:sz w:val="24"/>
                <w:szCs w:val="20"/>
              </w:rPr>
              <w:t>施工期工艺流程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Dutch" w:hAnsi="Dutch" w:eastAsia="宋体" w:cs="Times New Roman"/>
                <w:color w:val="auto"/>
                <w:sz w:val="24"/>
                <w:szCs w:val="20"/>
              </w:rPr>
            </w:pPr>
            <w:r>
              <w:rPr>
                <w:rFonts w:hint="default" w:ascii="Times New Roman" w:hAnsi="Times New Roman" w:eastAsia="宋体" w:cs="Times New Roman"/>
                <w:color w:val="auto"/>
                <w:sz w:val="24"/>
                <w:szCs w:val="20"/>
              </w:rPr>
              <w:t>施工期产生的污染物主要为废气、废水、噪声及固体废弃物，从污染角度分析，项目施工期的工艺流程及产污情况详见下图：</w:t>
            </w:r>
          </w:p>
          <w:p>
            <w:pPr>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8915" cy="3526155"/>
                  <wp:effectExtent l="0" t="0" r="12700" b="8255"/>
                  <wp:wrapTopAndBottom/>
                  <wp:docPr id="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6"/>
                          <pic:cNvPicPr>
                            <a:picLocks noChangeAspect="1"/>
                          </pic:cNvPicPr>
                        </pic:nvPicPr>
                        <pic:blipFill>
                          <a:blip r:embed="rId25"/>
                          <a:stretch>
                            <a:fillRect/>
                          </a:stretch>
                        </pic:blipFill>
                        <pic:spPr>
                          <a:xfrm>
                            <a:off x="0" y="0"/>
                            <a:ext cx="5288915" cy="3526155"/>
                          </a:xfrm>
                          <a:prstGeom prst="rect">
                            <a:avLst/>
                          </a:prstGeom>
                          <a:noFill/>
                          <a:ln>
                            <a:noFill/>
                          </a:ln>
                        </pic:spPr>
                      </pic:pic>
                    </a:graphicData>
                  </a:graphic>
                </wp:anchor>
              </w:drawing>
            </w: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4-1 施工期工艺流程及产污环节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施工期污染环节及污染物源强核算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（一）“三场”设置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bCs/>
                <w:color w:val="auto"/>
                <w:kern w:val="2"/>
                <w:sz w:val="24"/>
                <w:szCs w:val="20"/>
                <w:lang w:eastAsia="zh-CN"/>
              </w:rPr>
            </w:pPr>
            <w:r>
              <w:rPr>
                <w:rFonts w:hint="eastAsia" w:ascii="Times New Roman" w:hAnsi="Times New Roman" w:eastAsia="宋体" w:cs="Times New Roman"/>
                <w:b/>
                <w:bCs/>
                <w:color w:val="auto"/>
                <w:kern w:val="2"/>
                <w:sz w:val="24"/>
                <w:szCs w:val="20"/>
                <w:lang w:val="en-US" w:eastAsia="zh-CN"/>
              </w:rPr>
              <w:t>1、</w:t>
            </w:r>
            <w:r>
              <w:rPr>
                <w:rFonts w:hint="default" w:ascii="Times New Roman" w:hAnsi="Times New Roman" w:eastAsia="宋体" w:cs="Times New Roman"/>
                <w:b/>
                <w:bCs/>
                <w:color w:val="auto"/>
                <w:kern w:val="2"/>
                <w:sz w:val="24"/>
                <w:szCs w:val="20"/>
                <w:lang w:eastAsia="zh-CN"/>
              </w:rPr>
              <w:t>施工营地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项目所在地交通方便，便于前期</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三通一平</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工作的开展。施工场地内在场地一侧设置临时的施工办公用房，采用简易</w:t>
            </w:r>
            <w:r>
              <w:rPr>
                <w:rFonts w:hint="default" w:ascii="Times New Roman" w:hAnsi="Times New Roman" w:eastAsia="宋体" w:cs="Times New Roman"/>
                <w:color w:val="auto"/>
                <w:kern w:val="2"/>
                <w:sz w:val="24"/>
                <w:szCs w:val="20"/>
                <w:lang w:eastAsia="zh-CN"/>
              </w:rPr>
              <w:t>板房</w:t>
            </w:r>
            <w:r>
              <w:rPr>
                <w:rFonts w:hint="default" w:ascii="Times New Roman" w:hAnsi="Times New Roman" w:eastAsia="宋体" w:cs="Times New Roman"/>
                <w:color w:val="auto"/>
                <w:kern w:val="2"/>
                <w:sz w:val="24"/>
                <w:szCs w:val="20"/>
              </w:rPr>
              <w:t>，不设置临时施工建筑，工程完工后进行拆除。施工人员均为当地人</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故施工人员不在厂内食宿。施工机械开工后进驻场地，按工程进度安排不同的机械入场，布置位置不固定。本项目场地及营地布设情况符合工程实际，严格按照环保要求做到文明施工，减少对周围环境的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2、</w:t>
            </w:r>
            <w:r>
              <w:rPr>
                <w:rFonts w:hint="default" w:ascii="Times New Roman" w:hAnsi="Times New Roman" w:eastAsia="宋体" w:cs="Times New Roman"/>
                <w:b/>
                <w:bCs/>
                <w:color w:val="auto"/>
                <w:kern w:val="2"/>
                <w:sz w:val="24"/>
                <w:lang w:val="en-US" w:eastAsia="zh-CN" w:bidi="ar-SA"/>
              </w:rPr>
              <w:t>取料场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本项目施工使用商品混凝土，不在场地内设混凝土拌合场所。项目所需的建筑材料来源于项目周边地区，项目建设用钢材、水泥、沙、石材料等从周边具有合法开采手续的企业购买。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3、</w:t>
            </w:r>
            <w:r>
              <w:rPr>
                <w:rFonts w:hint="default" w:ascii="Times New Roman" w:hAnsi="Times New Roman" w:eastAsia="宋体" w:cs="Times New Roman"/>
                <w:b/>
                <w:bCs/>
                <w:color w:val="auto"/>
                <w:kern w:val="2"/>
                <w:sz w:val="24"/>
                <w:lang w:val="en-US" w:eastAsia="zh-CN" w:bidi="ar-SA"/>
              </w:rPr>
              <w:t>取土场和弃渣场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kern w:val="2"/>
                <w:sz w:val="24"/>
                <w:lang w:val="en-US" w:eastAsia="zh-CN" w:bidi="ar-SA"/>
              </w:rPr>
              <w:t>本项目不设取土场、采石场；另外，工程挖填平衡，项目不设置弃渣场。</w:t>
            </w:r>
            <w:r>
              <w:rPr>
                <w:rFonts w:hint="default" w:ascii="Times New Roman" w:hAnsi="Times New Roman" w:eastAsia="宋体" w:cs="Times New Roman"/>
                <w:color w:val="auto"/>
                <w:kern w:val="2"/>
                <w:sz w:val="24"/>
                <w:szCs w:val="20"/>
              </w:rPr>
              <w:t>工程施工方式与其他同类工程建筑施工方式相同，按国家相关规范执行，符合工程实际和有关要求。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项目施工期为20</w:t>
            </w:r>
            <w:r>
              <w:rPr>
                <w:rFonts w:hint="eastAsia" w:ascii="Times New Roman" w:hAnsi="Times New Roman" w:eastAsia="宋体" w:cs="Times New Roman"/>
                <w:color w:val="auto"/>
                <w:sz w:val="24"/>
                <w:szCs w:val="20"/>
                <w:lang w:val="en-US" w:eastAsia="zh-CN"/>
              </w:rPr>
              <w:t>22</w:t>
            </w:r>
            <w:r>
              <w:rPr>
                <w:rFonts w:hint="default" w:ascii="Times New Roman" w:hAnsi="Times New Roman" w:eastAsia="宋体" w:cs="Times New Roman"/>
                <w:color w:val="auto"/>
                <w:sz w:val="24"/>
                <w:szCs w:val="20"/>
              </w:rPr>
              <w:t>年</w:t>
            </w:r>
            <w:r>
              <w:rPr>
                <w:rFonts w:hint="eastAsia" w:ascii="Times New Roman" w:hAnsi="Times New Roman" w:eastAsia="宋体" w:cs="Times New Roman"/>
                <w:color w:val="auto"/>
                <w:sz w:val="24"/>
                <w:szCs w:val="20"/>
                <w:lang w:val="en-US" w:eastAsia="zh-CN"/>
              </w:rPr>
              <w:t>3</w:t>
            </w:r>
            <w:r>
              <w:rPr>
                <w:rFonts w:hint="default" w:ascii="Times New Roman" w:hAnsi="Times New Roman" w:eastAsia="宋体" w:cs="Times New Roman"/>
                <w:color w:val="auto"/>
                <w:sz w:val="24"/>
                <w:szCs w:val="20"/>
              </w:rPr>
              <w:t>月~20</w:t>
            </w:r>
            <w:r>
              <w:rPr>
                <w:rFonts w:hint="eastAsia" w:ascii="Times New Roman" w:hAnsi="Times New Roman" w:eastAsia="宋体" w:cs="Times New Roman"/>
                <w:color w:val="auto"/>
                <w:sz w:val="24"/>
                <w:szCs w:val="20"/>
                <w:lang w:val="en-US" w:eastAsia="zh-CN"/>
              </w:rPr>
              <w:t>24</w:t>
            </w:r>
            <w:r>
              <w:rPr>
                <w:rFonts w:hint="default" w:ascii="Times New Roman" w:hAnsi="Times New Roman" w:eastAsia="宋体" w:cs="Times New Roman"/>
                <w:color w:val="auto"/>
                <w:sz w:val="24"/>
                <w:szCs w:val="20"/>
              </w:rPr>
              <w:t>年12月，施工工期共</w:t>
            </w:r>
            <w:r>
              <w:rPr>
                <w:rFonts w:hint="eastAsia" w:ascii="Times New Roman" w:hAnsi="Times New Roman" w:eastAsia="宋体" w:cs="Times New Roman"/>
                <w:color w:val="auto"/>
                <w:sz w:val="24"/>
                <w:szCs w:val="20"/>
                <w:lang w:val="en-US" w:eastAsia="zh-CN"/>
              </w:rPr>
              <w:t>30</w:t>
            </w:r>
            <w:r>
              <w:rPr>
                <w:rFonts w:hint="default" w:ascii="Times New Roman" w:hAnsi="Times New Roman" w:eastAsia="宋体" w:cs="Times New Roman"/>
                <w:color w:val="auto"/>
                <w:sz w:val="24"/>
                <w:szCs w:val="20"/>
              </w:rPr>
              <w:t>个月。施工人员50人，均不在厂内食宿。故施工期项目产生的污染物质主要有施工扬尘、运输车辆废气、施工废水、施工噪声、挖填方弃土和建筑垃圾，具体产生情况分析如下。</w:t>
            </w:r>
          </w:p>
          <w:p>
            <w:pPr>
              <w:spacing w:line="360" w:lineRule="auto"/>
              <w:ind w:firstLine="352" w:firstLineChars="147"/>
              <w:rPr>
                <w:rFonts w:hint="eastAsia" w:ascii="Dutch" w:hAnsi="Dutch" w:eastAsia="宋体" w:cs="Times New Roman"/>
                <w:b/>
                <w:color w:val="auto"/>
                <w:sz w:val="24"/>
                <w:szCs w:val="20"/>
                <w:lang w:val="en-US" w:eastAsia="zh-CN"/>
              </w:rPr>
            </w:pPr>
            <w:r>
              <w:rPr>
                <w:rFonts w:hint="eastAsia" w:ascii="Dutch" w:hAnsi="Dutch" w:eastAsia="宋体" w:cs="Times New Roman"/>
                <w:b/>
                <w:color w:val="auto"/>
                <w:sz w:val="24"/>
                <w:szCs w:val="20"/>
                <w:lang w:val="en-US" w:eastAsia="zh-CN"/>
              </w:rPr>
              <w:t>（二）污染物环境影响分析及防治措施</w:t>
            </w:r>
          </w:p>
          <w:p>
            <w:pPr>
              <w:spacing w:line="360" w:lineRule="auto"/>
              <w:ind w:firstLine="352" w:firstLineChars="147"/>
              <w:rPr>
                <w:rFonts w:ascii="Dutch" w:hAnsi="Dutch" w:eastAsia="宋体" w:cs="Times New Roman"/>
                <w:b/>
                <w:color w:val="auto"/>
                <w:sz w:val="24"/>
                <w:szCs w:val="20"/>
              </w:rPr>
            </w:pPr>
            <w:r>
              <w:rPr>
                <w:rFonts w:hint="eastAsia" w:ascii="Dutch" w:hAnsi="Dutch" w:eastAsia="宋体" w:cs="Times New Roman"/>
                <w:b/>
                <w:color w:val="auto"/>
                <w:sz w:val="24"/>
                <w:szCs w:val="20"/>
                <w:lang w:val="en-US" w:eastAsia="zh-CN"/>
              </w:rPr>
              <w:t>1</w:t>
            </w:r>
            <w:r>
              <w:rPr>
                <w:rFonts w:hint="eastAsia" w:ascii="Dutch" w:hAnsi="Dutch" w:eastAsia="宋体" w:cs="Times New Roman"/>
                <w:b/>
                <w:color w:val="auto"/>
                <w:sz w:val="24"/>
                <w:szCs w:val="20"/>
              </w:rPr>
              <w:t>、</w:t>
            </w:r>
            <w:r>
              <w:rPr>
                <w:rFonts w:ascii="Dutch" w:hAnsi="Dutch" w:eastAsia="宋体" w:cs="Times New Roman"/>
                <w:b/>
                <w:color w:val="auto"/>
                <w:sz w:val="24"/>
                <w:szCs w:val="20"/>
              </w:rPr>
              <w:t>废气</w:t>
            </w:r>
          </w:p>
          <w:p>
            <w:pPr>
              <w:spacing w:line="360" w:lineRule="auto"/>
              <w:ind w:firstLine="360" w:firstLineChars="150"/>
              <w:rPr>
                <w:rFonts w:ascii="Dutch" w:hAnsi="Dutch" w:eastAsia="宋体" w:cs="Times New Roman"/>
                <w:color w:val="auto"/>
                <w:sz w:val="24"/>
                <w:szCs w:val="20"/>
              </w:rPr>
            </w:pPr>
            <w:r>
              <w:rPr>
                <w:rFonts w:ascii="Dutch" w:hAnsi="Dutch" w:eastAsia="宋体" w:cs="Times New Roman"/>
                <w:color w:val="auto"/>
                <w:sz w:val="24"/>
                <w:szCs w:val="20"/>
              </w:rPr>
              <w:t>项目装饰工程主要为简单装修，无油漆粉刷</w:t>
            </w:r>
            <w:r>
              <w:rPr>
                <w:rFonts w:hint="eastAsia" w:ascii="Dutch" w:hAnsi="Dutch" w:eastAsia="宋体" w:cs="Times New Roman"/>
                <w:color w:val="auto"/>
                <w:sz w:val="24"/>
                <w:szCs w:val="20"/>
              </w:rPr>
              <w:t>。</w:t>
            </w:r>
            <w:r>
              <w:rPr>
                <w:rFonts w:ascii="Dutch" w:hAnsi="Dutch" w:eastAsia="宋体" w:cs="Times New Roman"/>
                <w:color w:val="auto"/>
                <w:sz w:val="24"/>
                <w:szCs w:val="20"/>
              </w:rPr>
              <w:t>施工期污染源主要来自两个方面，一是</w:t>
            </w:r>
            <w:r>
              <w:rPr>
                <w:rFonts w:ascii="Dutch" w:hAnsi="Dutch" w:eastAsia="宋体" w:cs="Times New Roman"/>
                <w:bCs/>
                <w:color w:val="auto"/>
                <w:kern w:val="0"/>
                <w:sz w:val="24"/>
                <w:szCs w:val="20"/>
              </w:rPr>
              <w:t>施工期土方开挖、地表裸露、车辆运输中产生的地表扬尘，二是</w:t>
            </w:r>
            <w:r>
              <w:rPr>
                <w:rFonts w:ascii="Dutch" w:hAnsi="Dutch" w:eastAsia="宋体" w:cs="Times New Roman"/>
                <w:color w:val="auto"/>
                <w:sz w:val="24"/>
                <w:szCs w:val="20"/>
              </w:rPr>
              <w:t>施工机械产生的废气及汽车尾气。</w:t>
            </w:r>
          </w:p>
          <w:p>
            <w:pPr>
              <w:spacing w:line="360" w:lineRule="auto"/>
              <w:ind w:firstLine="480" w:firstLineChars="200"/>
              <w:rPr>
                <w:rFonts w:ascii="Dutch" w:hAnsi="Dutch" w:eastAsia="宋体" w:cs="Times New Roman"/>
                <w:b/>
                <w:bCs/>
                <w:color w:val="auto"/>
                <w:kern w:val="0"/>
                <w:sz w:val="24"/>
                <w:szCs w:val="20"/>
              </w:rPr>
            </w:pPr>
            <w:r>
              <w:rPr>
                <w:rFonts w:ascii="Dutch" w:hAnsi="Dutch" w:eastAsia="宋体" w:cs="Times New Roman"/>
                <w:b/>
                <w:bCs/>
                <w:color w:val="auto"/>
                <w:kern w:val="0"/>
                <w:sz w:val="24"/>
                <w:szCs w:val="20"/>
              </w:rPr>
              <w:t>（1）扬尘</w:t>
            </w:r>
            <w:r>
              <w:rPr>
                <w:rFonts w:hint="eastAsia" w:ascii="Dutch" w:hAnsi="Dutch" w:eastAsia="宋体" w:cs="Times New Roman"/>
                <w:b/>
                <w:bCs/>
                <w:color w:val="auto"/>
                <w:kern w:val="0"/>
                <w:sz w:val="24"/>
                <w:szCs w:val="20"/>
              </w:rPr>
              <w:t>源强及环境影响分析</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ascii="Dutch" w:hAnsi="Dutch" w:eastAsia="宋体" w:cs="Times New Roman"/>
                <w:color w:val="auto"/>
                <w:sz w:val="24"/>
                <w:szCs w:val="20"/>
              </w:rPr>
            </w:pPr>
            <w:r>
              <w:rPr>
                <w:rFonts w:ascii="Dutch" w:hAnsi="Dutch" w:eastAsia="宋体" w:cs="Times New Roman"/>
                <w:color w:val="auto"/>
                <w:sz w:val="24"/>
                <w:szCs w:val="20"/>
              </w:rPr>
              <w:fldChar w:fldCharType="begin"/>
            </w:r>
            <w:r>
              <w:rPr>
                <w:rFonts w:ascii="Dutch" w:hAnsi="Dutch" w:eastAsia="宋体" w:cs="Times New Roman"/>
                <w:color w:val="auto"/>
                <w:sz w:val="24"/>
                <w:szCs w:val="20"/>
              </w:rPr>
              <w:instrText xml:space="preserve"> = 1 \* GB3 </w:instrText>
            </w:r>
            <w:r>
              <w:rPr>
                <w:rFonts w:ascii="Dutch" w:hAnsi="Dutch" w:eastAsia="宋体" w:cs="Times New Roman"/>
                <w:color w:val="auto"/>
                <w:sz w:val="24"/>
                <w:szCs w:val="20"/>
              </w:rPr>
              <w:fldChar w:fldCharType="separate"/>
            </w:r>
            <w:r>
              <w:rPr>
                <w:rFonts w:hint="eastAsia" w:ascii="宋体" w:hAnsi="宋体" w:eastAsia="宋体" w:cs="宋体"/>
                <w:color w:val="auto"/>
                <w:sz w:val="24"/>
                <w:szCs w:val="20"/>
              </w:rPr>
              <w:t>①</w:t>
            </w:r>
            <w:r>
              <w:rPr>
                <w:rFonts w:ascii="Dutch" w:hAnsi="Dutch" w:eastAsia="宋体" w:cs="Times New Roman"/>
                <w:color w:val="auto"/>
                <w:sz w:val="24"/>
                <w:szCs w:val="20"/>
              </w:rPr>
              <w:fldChar w:fldCharType="end"/>
            </w:r>
            <w:r>
              <w:rPr>
                <w:rFonts w:ascii="Dutch" w:hAnsi="Dutch" w:eastAsia="宋体" w:cs="Times New Roman"/>
                <w:color w:val="auto"/>
                <w:sz w:val="24"/>
                <w:szCs w:val="20"/>
              </w:rPr>
              <w:t>土石方开挖、露天堆场和裸露场地的风力扬尘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ascii="Dutch" w:hAnsi="Dutch"/>
                <w:color w:val="auto"/>
                <w:kern w:val="52"/>
                <w:sz w:val="24"/>
                <w:szCs w:val="24"/>
                <w:lang w:val="en-GB"/>
              </w:rPr>
              <w:t>根据云南省环境监测中心站对建筑施工现场的扬尘污染监测，在距施工现场边界50m处，TSP浓度最大达到4.53mg/m</w:t>
            </w:r>
            <w:r>
              <w:rPr>
                <w:rFonts w:ascii="Dutch" w:hAnsi="Dutch"/>
                <w:color w:val="auto"/>
                <w:kern w:val="52"/>
                <w:sz w:val="24"/>
                <w:szCs w:val="24"/>
                <w:vertAlign w:val="superscript"/>
                <w:lang w:val="en-GB"/>
              </w:rPr>
              <w:t>3</w:t>
            </w:r>
            <w:r>
              <w:rPr>
                <w:rFonts w:ascii="Dutch" w:hAnsi="Dutch"/>
                <w:color w:val="auto"/>
                <w:kern w:val="52"/>
                <w:sz w:val="24"/>
                <w:szCs w:val="24"/>
                <w:lang w:val="en-GB"/>
              </w:rPr>
              <w:t>，至150m处仍可达到1.51mg/m</w:t>
            </w:r>
            <w:r>
              <w:rPr>
                <w:rFonts w:ascii="Dutch" w:hAnsi="Dutch"/>
                <w:color w:val="auto"/>
                <w:kern w:val="52"/>
                <w:sz w:val="24"/>
                <w:szCs w:val="24"/>
                <w:vertAlign w:val="superscript"/>
                <w:lang w:val="en-GB"/>
              </w:rPr>
              <w:t>3</w:t>
            </w:r>
            <w:r>
              <w:rPr>
                <w:rFonts w:ascii="Dutch" w:hAnsi="Dutch"/>
                <w:color w:val="auto"/>
                <w:kern w:val="52"/>
                <w:sz w:val="24"/>
                <w:szCs w:val="24"/>
                <w:lang w:val="en-GB"/>
              </w:rPr>
              <w:t>，只有在200m处才低于1.0mg/m</w:t>
            </w:r>
            <w:r>
              <w:rPr>
                <w:rFonts w:ascii="Dutch" w:hAnsi="Dutch"/>
                <w:color w:val="auto"/>
                <w:kern w:val="52"/>
                <w:sz w:val="24"/>
                <w:szCs w:val="24"/>
                <w:vertAlign w:val="superscript"/>
                <w:lang w:val="en-GB"/>
              </w:rPr>
              <w:t>3</w:t>
            </w:r>
            <w:r>
              <w:rPr>
                <w:rFonts w:ascii="Dutch" w:hAnsi="Dutch"/>
                <w:color w:val="auto"/>
                <w:kern w:val="52"/>
                <w:sz w:val="24"/>
                <w:szCs w:val="24"/>
                <w:lang w:val="en-GB"/>
              </w:rPr>
              <w:t>。经以上分析，施工期无组织排放的扬尘污染的范</w:t>
            </w:r>
            <w:r>
              <w:rPr>
                <w:rFonts w:hint="eastAsia" w:ascii="Dutch" w:hAnsi="Dutch"/>
                <w:color w:val="auto"/>
                <w:kern w:val="52"/>
                <w:sz w:val="24"/>
                <w:szCs w:val="24"/>
                <w:lang w:val="en-GB"/>
              </w:rPr>
              <w:t>围主要集中在2</w:t>
            </w:r>
            <w:r>
              <w:rPr>
                <w:rFonts w:ascii="Dutch" w:hAnsi="Dutch"/>
                <w:color w:val="auto"/>
                <w:kern w:val="52"/>
                <w:sz w:val="24"/>
                <w:szCs w:val="24"/>
                <w:lang w:val="en-GB"/>
              </w:rPr>
              <w:t>00m</w:t>
            </w:r>
            <w:r>
              <w:rPr>
                <w:rFonts w:hint="eastAsia" w:ascii="Dutch" w:hAnsi="Dutch"/>
                <w:color w:val="auto"/>
                <w:kern w:val="52"/>
                <w:sz w:val="24"/>
                <w:szCs w:val="24"/>
                <w:lang w:val="en-GB"/>
              </w:rPr>
              <w:t>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②车辆行驶的动力起尘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根据资料，车辆行驶产生的扬尘占总扬尘的60％以上。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在完全干燥情况下，可按下列经验公式计算：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ascii="Dutch" w:hAnsi="Dutch"/>
                <w:color w:val="auto"/>
                <w:kern w:val="28"/>
                <w:position w:val="-28"/>
                <w:sz w:val="24"/>
              </w:rPr>
            </w:pPr>
            <w:r>
              <w:rPr>
                <w:rFonts w:ascii="Dutch" w:hAnsi="Dutch"/>
                <w:color w:val="auto"/>
                <w:kern w:val="28"/>
                <w:position w:val="-28"/>
                <w:sz w:val="24"/>
              </w:rPr>
              <w:drawing>
                <wp:inline distT="0" distB="0" distL="114300" distR="114300">
                  <wp:extent cx="1955800" cy="474345"/>
                  <wp:effectExtent l="0" t="0" r="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1955800" cy="474345"/>
                          </a:xfrm>
                          <a:prstGeom prst="rect">
                            <a:avLst/>
                          </a:prstGeom>
                          <a:noFill/>
                          <a:ln>
                            <a:noFill/>
                          </a:ln>
                        </pic:spPr>
                      </pic:pic>
                    </a:graphicData>
                  </a:graphic>
                </wp:inline>
              </w:drawing>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式中：Q——汽车行驶的扬尘，kg/km·辆；</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V——汽车速度，km/h；</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W——汽车载重量，t；</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P——道路表面粉尘量，kg/m</w:t>
            </w:r>
            <w:r>
              <w:rPr>
                <w:rFonts w:ascii="Dutch" w:hAnsi="Dutch" w:eastAsia="宋体" w:cs="Times New Roman"/>
                <w:color w:val="auto"/>
                <w:kern w:val="28"/>
                <w:sz w:val="24"/>
                <w:szCs w:val="20"/>
                <w:vertAlign w:val="superscript"/>
              </w:rPr>
              <w:t>2</w:t>
            </w:r>
            <w:r>
              <w:rPr>
                <w:rFonts w:ascii="Dutch" w:hAnsi="Dutch" w:eastAsia="宋体" w:cs="Times New Roman"/>
                <w:color w:val="auto"/>
                <w:kern w:val="28"/>
                <w:sz w:val="24"/>
                <w:szCs w:val="20"/>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运输材料、土石方车辆在施工区内行驶距离按400m计，平均每天发空车及载重车各5辆，空车重约10t，载重车重约40t，以10km/h的速度行驶。据本项目的实际情况，对道路路况以0.1kg/m</w:t>
            </w:r>
            <w:r>
              <w:rPr>
                <w:rFonts w:hint="default" w:ascii="Times New Roman" w:hAnsi="Times New Roman" w:eastAsia="宋体" w:cs="Times New Roman"/>
                <w:color w:val="auto"/>
                <w:kern w:val="2"/>
                <w:sz w:val="24"/>
                <w:szCs w:val="20"/>
                <w:vertAlign w:val="superscript"/>
              </w:rPr>
              <w:t>2</w:t>
            </w:r>
            <w:r>
              <w:rPr>
                <w:rFonts w:hint="default" w:ascii="Times New Roman" w:hAnsi="Times New Roman" w:eastAsia="宋体" w:cs="Times New Roman"/>
                <w:color w:val="auto"/>
                <w:kern w:val="2"/>
                <w:sz w:val="24"/>
                <w:szCs w:val="20"/>
              </w:rPr>
              <w:t>计，则运输车辆动力起尘量为3.52kg/d，合0.63t/a。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eastAsia" w:ascii="Times New Roman" w:hAnsi="Times New Roman" w:eastAsia="宋体" w:cs="Times New Roman"/>
                <w:color w:val="auto"/>
                <w:kern w:val="2"/>
                <w:sz w:val="24"/>
                <w:szCs w:val="20"/>
                <w:lang w:eastAsia="zh-CN"/>
              </w:rPr>
              <w:t>③</w:t>
            </w:r>
            <w:r>
              <w:rPr>
                <w:rFonts w:hint="default" w:ascii="Times New Roman" w:hAnsi="Times New Roman" w:eastAsia="宋体" w:cs="Times New Roman"/>
                <w:color w:val="auto"/>
                <w:kern w:val="2"/>
                <w:sz w:val="24"/>
                <w:szCs w:val="20"/>
              </w:rPr>
              <w:t>施工机械、车辆废气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施工机械主要有铲土机、挖土机、打桩机、空压机及各种运输车辆。大部分使用柴油作为能源，少量使用汽油，这部分机械主要在土石方开挖、运输、填埋阶段使用，是废气的主要来源。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项目建设施工中施工机械运行产生的废气、运输车辆运输产生的尾气均是由柴油和汽油燃烧后所产生，为影响空气环境的主要污染物之一。主要污染成份是烯烃类、CO和NO</w:t>
            </w:r>
            <w:r>
              <w:rPr>
                <w:rFonts w:hint="default" w:ascii="Times New Roman" w:hAnsi="Times New Roman" w:eastAsia="宋体" w:cs="Times New Roman"/>
                <w:color w:val="auto"/>
                <w:kern w:val="2"/>
                <w:sz w:val="24"/>
                <w:szCs w:val="20"/>
                <w:vertAlign w:val="subscript"/>
              </w:rPr>
              <w:t>X</w:t>
            </w:r>
            <w:r>
              <w:rPr>
                <w:rFonts w:hint="default" w:ascii="Times New Roman" w:hAnsi="Times New Roman" w:eastAsia="宋体" w:cs="Times New Roman"/>
                <w:color w:val="auto"/>
                <w:kern w:val="2"/>
                <w:sz w:val="24"/>
                <w:szCs w:val="20"/>
              </w:rPr>
              <w:t>，属无组织排放。在其余工段使用的机械如电钻、电焊机、角向磨光机等一般以电为能源，不会产生机械尾气。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施工机械废气集中产生于项目施工的初期阶段，施工机械废气主要是CO、碳氢化合物等，其产生量及废气中污染物浓度视其使用频率及发动机对燃料的燃烧情况而异。施工机械废气属于低架点源无组织排放性质，具有间断性产生、产生量较小、产生点相对分散、易被稀释扩散等特点。加之项目区施工范围相对较大，施工场地周围较空旷，大气扩散条件相对较好，故一般情况下，施工机械和运输车辆所产生的废气污染在空气中经自然扩散和稀释后，产生和排放量均很小，为无组织排放。因此，项目施工期烟气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Times New Roman" w:hAnsi="Times New Roman" w:eastAsia="宋体" w:cs="Times New Roman"/>
                <w:b/>
                <w:bCs/>
                <w:color w:val="auto"/>
                <w:kern w:val="2"/>
                <w:sz w:val="24"/>
                <w:szCs w:val="20"/>
                <w:lang w:eastAsia="zh-CN"/>
              </w:rPr>
            </w:pPr>
            <w:r>
              <w:rPr>
                <w:rFonts w:hint="eastAsia" w:ascii="Times New Roman" w:hAnsi="Times New Roman" w:eastAsia="宋体" w:cs="Times New Roman"/>
                <w:b/>
                <w:bCs/>
                <w:color w:val="auto"/>
                <w:kern w:val="2"/>
                <w:sz w:val="24"/>
                <w:szCs w:val="20"/>
                <w:lang w:val="en-US" w:eastAsia="zh-CN"/>
              </w:rPr>
              <w:t>（2）</w:t>
            </w:r>
            <w:r>
              <w:rPr>
                <w:rFonts w:hint="eastAsia" w:ascii="Times New Roman" w:hAnsi="Times New Roman" w:eastAsia="宋体" w:cs="Times New Roman"/>
                <w:b/>
                <w:bCs/>
                <w:color w:val="auto"/>
                <w:kern w:val="2"/>
                <w:sz w:val="24"/>
                <w:szCs w:val="20"/>
                <w:lang w:eastAsia="zh-CN"/>
              </w:rPr>
              <w:t>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eastAsia="zh-CN"/>
              </w:rPr>
              <w:t>①土石方开挖、露天堆场和裸露场地产生的扬尘，厂界四周采用雾化喷淋、设置</w:t>
            </w:r>
            <w:r>
              <w:rPr>
                <w:rFonts w:hint="eastAsia" w:ascii="Times New Roman" w:hAnsi="Times New Roman" w:eastAsia="宋体" w:cs="Times New Roman"/>
                <w:color w:val="auto"/>
                <w:kern w:val="2"/>
                <w:sz w:val="24"/>
                <w:szCs w:val="20"/>
                <w:lang w:val="en-US" w:eastAsia="zh-CN"/>
              </w:rPr>
              <w:t>临时围挡进行降尘；开挖的土石方和露天堆场采用雾化喷淋的措施，采用无纺布进行遮盖。根据实际生产经验呢，采取上述措施后，产生的粉尘可得到有效抑制。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②建筑材料运输车辆采取减速行驶，毡布遮盖的措施降低粉尘；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③施工机械、车辆产生的废气，产生的废气量较少，经过自然扩散以及周围植被的吸收后对周围环境影响较小。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2</w:t>
            </w:r>
            <w:r>
              <w:rPr>
                <w:rFonts w:hint="default" w:ascii="Times New Roman" w:hAnsi="Times New Roman" w:eastAsia="宋体" w:cs="Times New Roman"/>
                <w:b/>
                <w:bCs/>
                <w:color w:val="auto"/>
                <w:kern w:val="2"/>
                <w:sz w:val="24"/>
                <w:szCs w:val="20"/>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default" w:ascii="Times New Roman" w:hAnsi="Times New Roman" w:eastAsia="宋体" w:cs="Times New Roman"/>
                <w:color w:val="auto"/>
                <w:kern w:val="2"/>
                <w:sz w:val="24"/>
                <w:szCs w:val="20"/>
                <w:lang w:val="en-US" w:eastAsia="zh-CN"/>
              </w:rPr>
              <w:t>项目施工期的废水排放主要来自建筑施工人员的生活污水、施工废水，主要污染因子为BOD、COD、NH</w:t>
            </w:r>
            <w:r>
              <w:rPr>
                <w:rFonts w:hint="default" w:ascii="Times New Roman" w:hAnsi="Times New Roman" w:eastAsia="宋体" w:cs="Times New Roman"/>
                <w:color w:val="auto"/>
                <w:kern w:val="2"/>
                <w:sz w:val="24"/>
                <w:szCs w:val="20"/>
                <w:vertAlign w:val="subscript"/>
                <w:lang w:val="en-US" w:eastAsia="zh-CN"/>
              </w:rPr>
              <w:t>3</w:t>
            </w:r>
            <w:r>
              <w:rPr>
                <w:rFonts w:hint="default" w:ascii="Times New Roman" w:hAnsi="Times New Roman" w:eastAsia="宋体" w:cs="Times New Roman"/>
                <w:color w:val="auto"/>
                <w:kern w:val="2"/>
                <w:sz w:val="24"/>
                <w:szCs w:val="20"/>
                <w:lang w:val="en-US" w:eastAsia="zh-CN"/>
              </w:rPr>
              <w:t>-N、SS等。施工废水主要为建筑保养废水、机械清洗废水等，主要污染因子为SS。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废水源强及环境影响分析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①</w:t>
            </w:r>
            <w:r>
              <w:rPr>
                <w:rFonts w:hint="default" w:ascii="Times New Roman" w:hAnsi="Times New Roman" w:eastAsia="宋体" w:cs="Times New Roman"/>
                <w:b/>
                <w:bCs/>
                <w:color w:val="auto"/>
                <w:kern w:val="2"/>
                <w:sz w:val="24"/>
                <w:szCs w:val="20"/>
                <w:lang w:val="en-US" w:eastAsia="zh-CN"/>
              </w:rPr>
              <w:t>施工废水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default" w:ascii="Times New Roman" w:hAnsi="Times New Roman" w:eastAsia="宋体" w:cs="Times New Roman"/>
                <w:color w:val="auto"/>
                <w:kern w:val="2"/>
                <w:sz w:val="24"/>
                <w:szCs w:val="20"/>
                <w:lang w:val="en-US" w:eastAsia="zh-CN"/>
              </w:rPr>
              <w:t>工程施工混凝土采用商品混凝土，施工废水主要是施工机械设备维修、清洗产生的少量废水，经类比调查可知，本项目施工废水产生量约为5m³/d，含有的污染物主要是SS和石油类，类比相关资料，污染物产生浓度约为：SS 400mg/L、石油类30mg/L，工程施工期建筑施工废水产生量见4-1。</w:t>
            </w:r>
          </w:p>
          <w:p>
            <w:pPr>
              <w:spacing w:line="360" w:lineRule="auto"/>
              <w:ind w:firstLine="0" w:firstLineChars="0"/>
              <w:jc w:val="center"/>
              <w:rPr>
                <w:rFonts w:ascii="Dutch" w:hAnsi="Dutch" w:eastAsia="宋体" w:cs="Times New Roman"/>
                <w:b/>
                <w:color w:val="auto"/>
                <w:sz w:val="21"/>
                <w:szCs w:val="21"/>
                <w:highlight w:val="none"/>
              </w:rPr>
            </w:pPr>
            <w:r>
              <w:rPr>
                <w:rFonts w:ascii="Dutch" w:hAnsi="Dutch" w:eastAsia="宋体" w:cs="Times New Roman"/>
                <w:b/>
                <w:color w:val="auto"/>
                <w:sz w:val="21"/>
                <w:szCs w:val="21"/>
                <w:highlight w:val="none"/>
              </w:rPr>
              <w:t>表</w:t>
            </w:r>
            <w:r>
              <w:rPr>
                <w:rFonts w:hint="eastAsia" w:ascii="Dutch" w:hAnsi="Dutch" w:eastAsia="宋体" w:cs="Times New Roman"/>
                <w:b/>
                <w:color w:val="auto"/>
                <w:sz w:val="21"/>
                <w:szCs w:val="21"/>
                <w:highlight w:val="none"/>
                <w:lang w:val="en-US" w:eastAsia="zh-CN"/>
              </w:rPr>
              <w:t>4</w:t>
            </w:r>
            <w:r>
              <w:rPr>
                <w:rFonts w:hint="eastAsia" w:ascii="Dutch" w:hAnsi="Dutch" w:eastAsia="宋体" w:cs="Times New Roman"/>
                <w:b/>
                <w:color w:val="auto"/>
                <w:sz w:val="21"/>
                <w:szCs w:val="21"/>
                <w:highlight w:val="none"/>
              </w:rPr>
              <w:t xml:space="preserve">-1 </w:t>
            </w:r>
            <w:r>
              <w:rPr>
                <w:rFonts w:ascii="Dutch" w:hAnsi="Dutch" w:eastAsia="宋体" w:cs="Times New Roman"/>
                <w:b/>
                <w:color w:val="auto"/>
                <w:sz w:val="21"/>
                <w:szCs w:val="21"/>
                <w:highlight w:val="none"/>
              </w:rPr>
              <w:t>施工废水产生量一览表</w:t>
            </w:r>
          </w:p>
          <w:tbl>
            <w:tblPr>
              <w:tblStyle w:val="37"/>
              <w:tblW w:w="84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54"/>
              <w:gridCol w:w="1543"/>
              <w:gridCol w:w="1828"/>
              <w:gridCol w:w="1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2"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类别</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污水总量</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vertAlign w:val="subscript"/>
                    </w:rPr>
                  </w:pPr>
                  <w:r>
                    <w:rPr>
                      <w:rFonts w:hint="default" w:ascii="Times New Roman" w:hAnsi="Times New Roman" w:cs="Times New Roman"/>
                      <w:b/>
                      <w:color w:val="auto"/>
                      <w:sz w:val="21"/>
                    </w:rPr>
                    <w:t>SS</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产生量（t/a）</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1825</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0.73</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0.055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浓度（mg/L）</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400</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30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②生活废水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s="Times New Roman"/>
                <w:b w:val="0"/>
                <w:bCs w:val="0"/>
                <w:color w:val="auto"/>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本项目施工期生活污水主要是施工人员产生，因项目施工期施工人员不在现场吃住，厕所设为旱厕，现场无洗浴、炊事、厕所等生活污水排放。</w:t>
            </w:r>
            <w:r>
              <w:rPr>
                <w:rFonts w:ascii="Dutch" w:hAnsi="Dutch" w:eastAsia="宋体" w:cs="Times New Roman"/>
                <w:b w:val="0"/>
                <w:bCs w:val="0"/>
                <w:color w:val="auto"/>
                <w:sz w:val="24"/>
                <w:szCs w:val="20"/>
              </w:rPr>
              <w:t>生活污水产生量按照施工高峰期人员50人计，本项目施工期施工人员生活污水主要是洗手废水，用水量按6L/人·d计，总用水量为0.3m</w:t>
            </w:r>
            <w:r>
              <w:rPr>
                <w:rFonts w:ascii="Dutch" w:hAnsi="Dutch" w:eastAsia="宋体" w:cs="Times New Roman"/>
                <w:b w:val="0"/>
                <w:bCs w:val="0"/>
                <w:color w:val="auto"/>
                <w:sz w:val="24"/>
                <w:szCs w:val="20"/>
                <w:vertAlign w:val="superscript"/>
              </w:rPr>
              <w:t>3</w:t>
            </w:r>
            <w:r>
              <w:rPr>
                <w:rFonts w:ascii="Dutch" w:hAnsi="Dutch" w:eastAsia="宋体" w:cs="Times New Roman"/>
                <w:b w:val="0"/>
                <w:bCs w:val="0"/>
                <w:color w:val="auto"/>
                <w:sz w:val="24"/>
                <w:szCs w:val="20"/>
              </w:rPr>
              <w:t>/d，排水量按80%计算，生活污水产生量为0.24m</w:t>
            </w:r>
            <w:r>
              <w:rPr>
                <w:rFonts w:ascii="Dutch" w:hAnsi="Dutch" w:eastAsia="宋体" w:cs="Times New Roman"/>
                <w:b w:val="0"/>
                <w:bCs w:val="0"/>
                <w:color w:val="auto"/>
                <w:sz w:val="24"/>
                <w:szCs w:val="20"/>
                <w:vertAlign w:val="superscript"/>
              </w:rPr>
              <w:t>3</w:t>
            </w:r>
            <w:r>
              <w:rPr>
                <w:rFonts w:ascii="Dutch" w:hAnsi="Dutch" w:eastAsia="宋体" w:cs="Times New Roman"/>
                <w:b w:val="0"/>
                <w:bCs w:val="0"/>
                <w:color w:val="auto"/>
                <w:sz w:val="24"/>
                <w:szCs w:val="20"/>
              </w:rPr>
              <w:t>/d</w:t>
            </w:r>
            <w:r>
              <w:rPr>
                <w:rFonts w:hint="eastAsia" w:ascii="Dutch" w:hAnsi="Dutch" w:eastAsia="宋体" w:cs="Times New Roman"/>
                <w:b w:val="0"/>
                <w:bCs w:val="0"/>
                <w:color w:val="auto"/>
                <w:sz w:val="24"/>
                <w:szCs w:val="20"/>
                <w:lang w:eastAsia="zh-CN"/>
              </w:rPr>
              <w:t>。施工废水经一个有效容积为</w:t>
            </w:r>
            <w:r>
              <w:rPr>
                <w:rFonts w:hint="eastAsia" w:ascii="Dutch" w:hAnsi="Dutch" w:eastAsia="宋体" w:cs="Times New Roman"/>
                <w:b w:val="0"/>
                <w:bCs w:val="0"/>
                <w:color w:val="auto"/>
                <w:sz w:val="24"/>
                <w:szCs w:val="20"/>
                <w:lang w:val="en-US" w:eastAsia="zh-CN"/>
              </w:rPr>
              <w:t>5m³的临时沉淀池沉淀收集后用于场地洒水降尘，不外排。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Dutch" w:hAnsi="Dutch" w:eastAsia="宋体" w:cs="Times New Roman"/>
                <w:b w:val="0"/>
                <w:bCs w:val="0"/>
                <w:color w:val="auto"/>
                <w:sz w:val="24"/>
                <w:szCs w:val="20"/>
                <w:lang w:val="en-US" w:eastAsia="zh-CN"/>
              </w:rPr>
            </w:pPr>
            <w:r>
              <w:rPr>
                <w:rFonts w:hint="eastAsia" w:ascii="Dutch" w:hAnsi="Dutch" w:eastAsia="宋体" w:cs="Times New Roman"/>
                <w:b w:val="0"/>
                <w:bCs w:val="0"/>
                <w:color w:val="auto"/>
                <w:sz w:val="24"/>
                <w:szCs w:val="20"/>
                <w:lang w:val="en-US" w:eastAsia="zh-CN"/>
              </w:rPr>
              <w:t>综上所述，施工期产生的废水经收集后用于场地洒水降尘，对周围环境影响较小。</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防治措施</w:t>
            </w:r>
          </w:p>
          <w:p>
            <w:pPr>
              <w:spacing w:line="360" w:lineRule="auto"/>
              <w:ind w:firstLine="480" w:firstLineChars="200"/>
              <w:rPr>
                <w:rFonts w:ascii="Dutch" w:hAnsi="Dutch" w:eastAsia="宋体" w:cs="Times New Roman"/>
                <w:color w:val="auto"/>
                <w:sz w:val="24"/>
                <w:szCs w:val="20"/>
              </w:rPr>
            </w:pPr>
            <w:r>
              <w:rPr>
                <w:rFonts w:hint="eastAsia" w:ascii="Times New Roman" w:hAnsi="Times New Roman" w:eastAsia="宋体" w:cs="Times New Roman"/>
                <w:color w:val="auto"/>
                <w:sz w:val="24"/>
                <w:szCs w:val="20"/>
              </w:rPr>
              <w:t>根据</w:t>
            </w:r>
            <w:r>
              <w:rPr>
                <w:rFonts w:ascii="Times New Roman" w:hAnsi="Times New Roman" w:eastAsia="宋体" w:cs="Times New Roman"/>
                <w:color w:val="auto"/>
                <w:sz w:val="24"/>
                <w:szCs w:val="20"/>
              </w:rPr>
              <w:t>工程分析，本项目施工期施工人员</w:t>
            </w:r>
            <w:r>
              <w:rPr>
                <w:rFonts w:hint="eastAsia" w:ascii="Times New Roman" w:hAnsi="Times New Roman" w:eastAsia="宋体" w:cs="Times New Roman"/>
                <w:color w:val="auto"/>
                <w:sz w:val="24"/>
                <w:szCs w:val="20"/>
                <w:lang w:eastAsia="zh-CN"/>
              </w:rPr>
              <w:t>产生的</w:t>
            </w:r>
            <w:r>
              <w:rPr>
                <w:rFonts w:ascii="Times New Roman" w:hAnsi="Times New Roman" w:eastAsia="宋体" w:cs="Times New Roman"/>
                <w:color w:val="auto"/>
                <w:sz w:val="24"/>
                <w:szCs w:val="20"/>
              </w:rPr>
              <w:t>生活废水经</w:t>
            </w:r>
            <w:r>
              <w:rPr>
                <w:rFonts w:hint="eastAsia" w:ascii="Times New Roman" w:hAnsi="Times New Roman" w:eastAsia="宋体" w:cs="Times New Roman"/>
                <w:color w:val="auto"/>
                <w:sz w:val="24"/>
                <w:szCs w:val="20"/>
                <w:lang w:eastAsia="zh-CN"/>
              </w:rPr>
              <w:t>一个废水收集桶</w:t>
            </w:r>
            <w:r>
              <w:rPr>
                <w:rFonts w:ascii="Times New Roman" w:hAnsi="Times New Roman" w:eastAsia="宋体" w:cs="Times New Roman"/>
                <w:color w:val="auto"/>
                <w:sz w:val="24"/>
                <w:szCs w:val="20"/>
              </w:rPr>
              <w:t>收集</w:t>
            </w:r>
            <w:r>
              <w:rPr>
                <w:rFonts w:hint="eastAsia" w:ascii="Times New Roman" w:hAnsi="Times New Roman" w:eastAsia="宋体" w:cs="Times New Roman"/>
                <w:color w:val="auto"/>
                <w:sz w:val="24"/>
                <w:szCs w:val="20"/>
                <w:lang w:eastAsia="zh-CN"/>
              </w:rPr>
              <w:t>沉淀</w:t>
            </w:r>
            <w:r>
              <w:rPr>
                <w:rFonts w:ascii="Times New Roman" w:hAnsi="Times New Roman" w:eastAsia="宋体" w:cs="Times New Roman"/>
                <w:color w:val="auto"/>
                <w:sz w:val="24"/>
                <w:szCs w:val="20"/>
              </w:rPr>
              <w:t>后用于施工场地洒水抑尘，不外排。故本项目施工期生活污水不外排，对区域水环境</w:t>
            </w:r>
            <w:r>
              <w:rPr>
                <w:rFonts w:ascii="Dutch" w:hAnsi="Dutch" w:eastAsia="宋体" w:cs="Times New Roman"/>
                <w:color w:val="auto"/>
                <w:sz w:val="24"/>
                <w:szCs w:val="20"/>
              </w:rPr>
              <w:t>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3、固体废物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kern w:val="2"/>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项目施工期固体物主要为施工过程中开挖的土方、建筑垃圾、装修垃圾以及施工人员产生的生活垃圾。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（1）固体废物环境影响分析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①</w:t>
            </w:r>
            <w:r>
              <w:rPr>
                <w:rFonts w:hint="default" w:ascii="Times New Roman" w:hAnsi="Times New Roman" w:eastAsia="宋体" w:cs="Times New Roman"/>
                <w:b/>
                <w:bCs/>
                <w:color w:val="auto"/>
                <w:kern w:val="2"/>
                <w:sz w:val="24"/>
                <w:szCs w:val="20"/>
                <w:lang w:val="en-US" w:eastAsia="zh-CN"/>
              </w:rPr>
              <w:t>建筑垃圾</w:t>
            </w:r>
          </w:p>
          <w:p>
            <w:pPr>
              <w:widowControl/>
              <w:spacing w:line="360" w:lineRule="auto"/>
              <w:ind w:firstLine="480" w:firstLineChars="200"/>
              <w:rPr>
                <w:rFonts w:ascii="Dutch" w:hAnsi="Dutch" w:eastAsia="宋体" w:cs="Times New Roman"/>
                <w:color w:val="auto"/>
                <w:sz w:val="24"/>
                <w:szCs w:val="20"/>
              </w:rPr>
            </w:pPr>
            <w:r>
              <w:rPr>
                <w:rFonts w:ascii="Dutch" w:hAnsi="Dutch" w:eastAsia="宋体" w:cs="Times New Roman"/>
                <w:color w:val="auto"/>
                <w:sz w:val="24"/>
                <w:szCs w:val="20"/>
              </w:rPr>
              <w:t>建筑垃圾是在施工中地基的开挖及施工后期建筑物的建设、维修、拆除过程产生的。整体搬迁工程施工期建筑垃圾主要有废钢筋和各种废钢配件，金属管线废料、木屑、刨花、各种装饰材料的包装箱、包装袋等、散落的砂浆和混凝土，碎砖和碎混凝土块。据类比调查，一般建筑垃圾发生量约为20kg/m</w:t>
            </w:r>
            <w:r>
              <w:rPr>
                <w:rFonts w:ascii="Dutch" w:hAnsi="Dutch" w:eastAsia="宋体" w:cs="Times New Roman"/>
                <w:color w:val="auto"/>
                <w:sz w:val="24"/>
                <w:szCs w:val="20"/>
                <w:vertAlign w:val="superscript"/>
              </w:rPr>
              <w:t>2</w:t>
            </w:r>
            <w:r>
              <w:rPr>
                <w:rFonts w:ascii="Dutch" w:hAnsi="Dutch" w:eastAsia="宋体" w:cs="Times New Roman"/>
                <w:color w:val="auto"/>
                <w:sz w:val="24"/>
                <w:szCs w:val="20"/>
              </w:rPr>
              <w:t>，即单位建筑面积的发生量为20kg。本项目建筑面积为</w:t>
            </w:r>
            <w:r>
              <w:rPr>
                <w:rFonts w:hint="eastAsia" w:ascii="Dutch" w:hAnsi="Dutch" w:eastAsia="宋体" w:cs="Times New Roman"/>
                <w:color w:val="auto"/>
                <w:sz w:val="24"/>
                <w:szCs w:val="20"/>
              </w:rPr>
              <w:t>16643.26</w:t>
            </w:r>
            <w:r>
              <w:rPr>
                <w:rFonts w:ascii="Dutch" w:hAnsi="Dutch" w:eastAsia="宋体" w:cs="Times New Roman"/>
                <w:color w:val="auto"/>
                <w:sz w:val="24"/>
                <w:szCs w:val="20"/>
              </w:rPr>
              <w:t>m</w:t>
            </w:r>
            <w:r>
              <w:rPr>
                <w:rFonts w:ascii="Dutch" w:hAnsi="Dutch" w:eastAsia="宋体" w:cs="Times New Roman"/>
                <w:color w:val="auto"/>
                <w:sz w:val="24"/>
                <w:szCs w:val="20"/>
                <w:vertAlign w:val="superscript"/>
              </w:rPr>
              <w:t>2</w:t>
            </w:r>
            <w:r>
              <w:rPr>
                <w:rFonts w:ascii="Dutch" w:hAnsi="Dutch" w:eastAsia="宋体" w:cs="Times New Roman"/>
                <w:color w:val="auto"/>
                <w:sz w:val="24"/>
                <w:szCs w:val="20"/>
              </w:rPr>
              <w:t>，则项目施工期间建筑垃圾发生量</w:t>
            </w:r>
            <w:r>
              <w:rPr>
                <w:rFonts w:hint="eastAsia" w:ascii="Dutch" w:hAnsi="Dutch" w:eastAsia="宋体" w:cs="Times New Roman"/>
                <w:color w:val="auto"/>
                <w:sz w:val="24"/>
                <w:szCs w:val="20"/>
              </w:rPr>
              <w:t>约</w:t>
            </w:r>
            <w:r>
              <w:rPr>
                <w:rFonts w:ascii="Dutch" w:hAnsi="Dutch" w:eastAsia="宋体" w:cs="Times New Roman"/>
                <w:color w:val="auto"/>
                <w:sz w:val="24"/>
                <w:szCs w:val="20"/>
              </w:rPr>
              <w:t>为</w:t>
            </w:r>
            <w:r>
              <w:rPr>
                <w:rFonts w:hint="eastAsia" w:ascii="Dutch" w:hAnsi="Dutch" w:eastAsia="宋体" w:cs="Times New Roman"/>
                <w:color w:val="auto"/>
                <w:sz w:val="24"/>
                <w:szCs w:val="20"/>
                <w:lang w:val="en-US" w:eastAsia="zh-CN"/>
              </w:rPr>
              <w:t>332.8652</w:t>
            </w:r>
            <w:r>
              <w:rPr>
                <w:rFonts w:ascii="Dutch" w:hAnsi="Dutch" w:eastAsia="宋体" w:cs="Times New Roman"/>
                <w:color w:val="auto"/>
                <w:sz w:val="24"/>
                <w:szCs w:val="20"/>
              </w:rPr>
              <w:t>t。工程施工阶段建筑垃圾，通过施工中有效控制和竣工后现场清理工作，经分类收集，废钢件材料及废木板由废品收购站收购，不能回收的全部由建设单位运往当地主管部门指定地点处理。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②生活垃圾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kern w:val="2"/>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通过工程分析可得，本项目施工期生活垃圾产生量为25kg/d，9.125t/a，产生量不大，经临时垃圾桶集中收集后，委托环卫部门清运。旱厕委托附近的村民清掏，并清运作农田肥料，不对外排放。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（2）固体废物处置措施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施工产生的各类垃圾废弃物应堆置在规定的地点，不得随意抛弃建筑材料、残土、旧料和其他杂物。建筑垃圾是在施工中地基的开挖及施工后期建筑物的建设、维修过程产生的。工程施工期建筑垃圾主要有废钢筋和各种废钢配件，金属管线废料、木屑、刨花、各种装饰材料的包装箱、包装袋等、散落的砂浆和混凝土，碎砖和碎混凝土块。本项目施工期间建筑垃圾经分类收集，废钢件材料及废木板由废品收购站收购，不能回收的全部由建设单位运往当地主管部门指定的地点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施工产生的各类垃圾废弃物应堆置在规定的地点，不得随意抛弃建筑材料、残土、旧料和其他杂物。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生活垃圾经临时垃圾桶集中收集后，委托环卫部门清运。旱厕委托附近的村民清掏，并清运作农田肥料，不对外排放。</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噪声</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textAlignment w:val="auto"/>
              <w:rPr>
                <w:rFonts w:hint="eastAsia" w:ascii="Dutch" w:hAnsi="Dutch" w:eastAsia="宋体" w:cs="Times New Roman"/>
                <w:b/>
                <w:bCs/>
                <w:color w:val="auto"/>
                <w:sz w:val="24"/>
                <w:szCs w:val="20"/>
                <w:lang w:eastAsia="zh-CN"/>
              </w:rPr>
            </w:pPr>
            <w:r>
              <w:rPr>
                <w:rFonts w:hint="eastAsia" w:ascii="Dutch" w:hAnsi="Dutch" w:eastAsia="宋体" w:cs="Times New Roman"/>
                <w:b/>
                <w:bCs/>
                <w:color w:val="auto"/>
                <w:sz w:val="24"/>
                <w:szCs w:val="20"/>
                <w:lang w:eastAsia="zh-CN"/>
              </w:rPr>
              <w:t>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Dutch" w:hAnsi="Dutch" w:eastAsia="宋体" w:cs="Times New Roman"/>
                <w:color w:val="auto"/>
                <w:sz w:val="24"/>
                <w:szCs w:val="20"/>
              </w:rPr>
            </w:pPr>
            <w:r>
              <w:rPr>
                <w:rFonts w:ascii="Dutch" w:hAnsi="Dutch" w:eastAsia="宋体" w:cs="Times New Roman"/>
                <w:color w:val="auto"/>
                <w:sz w:val="24"/>
                <w:szCs w:val="20"/>
              </w:rPr>
              <w:t>项目施工期的噪声主要来自于建筑施工机械设备、装修机械和运输车辆运行噪声。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Dutch" w:hAnsi="Dutch" w:eastAsia="宋体" w:cs="Times New Roman"/>
                <w:color w:val="auto"/>
                <w:sz w:val="24"/>
                <w:szCs w:val="20"/>
                <w:lang w:val="en-US" w:eastAsia="zh-CN"/>
              </w:rPr>
            </w:pPr>
            <w:r>
              <w:rPr>
                <w:rFonts w:ascii="Dutch" w:hAnsi="Dutch" w:eastAsia="宋体" w:cs="Times New Roman"/>
                <w:color w:val="auto"/>
                <w:sz w:val="24"/>
                <w:szCs w:val="20"/>
              </w:rPr>
              <w:t>工程在施工过程中推土机、挖掘机作业及运输车辆等产生的噪声会对声环境造成一定污染。这些机械的单体声级一般均在75~110dB(A)。施工噪声比较突出的主要是基础挖掘施工场地以及施工运输道路。运输噪声为不连续性噪声，施工场地噪声为连续噪声。根据本工程的特点，施工期间的主要噪声源见</w:t>
            </w:r>
            <w:r>
              <w:rPr>
                <w:rFonts w:hint="eastAsia" w:ascii="Dutch" w:hAnsi="Dutch" w:eastAsia="宋体" w:cs="Times New Roman"/>
                <w:color w:val="auto"/>
                <w:sz w:val="24"/>
                <w:szCs w:val="20"/>
                <w:lang w:eastAsia="zh-CN"/>
              </w:rPr>
              <w:t>表</w:t>
            </w:r>
            <w:r>
              <w:rPr>
                <w:rFonts w:hint="eastAsia" w:ascii="Dutch" w:hAnsi="Dutch" w:eastAsia="宋体" w:cs="Times New Roman"/>
                <w:color w:val="auto"/>
                <w:sz w:val="24"/>
                <w:szCs w:val="20"/>
                <w:lang w:val="en-US" w:eastAsia="zh-CN"/>
              </w:rPr>
              <w:t>4-2。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Dutch" w:hAnsi="Dutch" w:eastAsia="宋体" w:cs="Times New Roman"/>
                <w:bCs/>
                <w:color w:val="auto"/>
                <w:sz w:val="21"/>
                <w:szCs w:val="21"/>
              </w:rPr>
            </w:pPr>
            <w:r>
              <w:rPr>
                <w:rFonts w:hint="eastAsia" w:ascii="Dutch" w:hAnsi="Dutch" w:eastAsia="宋体" w:cs="Times New Roman"/>
                <w:b/>
                <w:bCs/>
                <w:color w:val="auto"/>
                <w:sz w:val="21"/>
                <w:szCs w:val="21"/>
              </w:rPr>
              <w:t>表</w:t>
            </w:r>
            <w:r>
              <w:rPr>
                <w:rFonts w:hint="eastAsia" w:ascii="Dutch" w:hAnsi="Dutch" w:eastAsia="宋体" w:cs="Times New Roman"/>
                <w:b/>
                <w:bCs/>
                <w:color w:val="auto"/>
                <w:sz w:val="21"/>
                <w:szCs w:val="21"/>
                <w:lang w:val="en-US" w:eastAsia="zh-CN"/>
              </w:rPr>
              <w:t>4-2</w:t>
            </w:r>
            <w:r>
              <w:rPr>
                <w:rFonts w:hint="eastAsia" w:ascii="Dutch" w:hAnsi="Dutch" w:eastAsia="宋体" w:cs="Times New Roman"/>
                <w:b/>
                <w:bCs/>
                <w:color w:val="auto"/>
                <w:sz w:val="21"/>
                <w:szCs w:val="21"/>
              </w:rPr>
              <w:t xml:space="preserve"> </w:t>
            </w:r>
            <w:r>
              <w:rPr>
                <w:rFonts w:ascii="Dutch" w:hAnsi="Dutch" w:eastAsia="宋体" w:cs="Times New Roman"/>
                <w:b/>
                <w:bCs/>
                <w:color w:val="auto"/>
                <w:sz w:val="21"/>
                <w:szCs w:val="21"/>
              </w:rPr>
              <w:t xml:space="preserve">建筑施工机械噪声声级 </w:t>
            </w:r>
            <w:r>
              <w:rPr>
                <w:rFonts w:hint="eastAsia" w:ascii="Dutch" w:hAnsi="Dutch" w:eastAsia="宋体" w:cs="Times New Roman"/>
                <w:b/>
                <w:bCs/>
                <w:color w:val="auto"/>
                <w:sz w:val="21"/>
                <w:szCs w:val="21"/>
                <w:lang w:val="en-US" w:eastAsia="zh-CN"/>
              </w:rPr>
              <w:t xml:space="preserve">    </w:t>
            </w:r>
            <w:r>
              <w:rPr>
                <w:rFonts w:ascii="Dutch" w:hAnsi="Dutch" w:eastAsia="宋体" w:cs="Times New Roman"/>
                <w:b/>
                <w:bCs/>
                <w:color w:val="auto"/>
                <w:sz w:val="21"/>
                <w:szCs w:val="21"/>
              </w:rPr>
              <w:t xml:space="preserve">单位：dB(A) </w:t>
            </w:r>
          </w:p>
          <w:tbl>
            <w:tblPr>
              <w:tblStyle w:val="37"/>
              <w:tblW w:w="850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2489"/>
              <w:gridCol w:w="2725"/>
              <w:gridCol w:w="32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0" w:hRule="atLeast"/>
                <w:jc w:val="center"/>
              </w:trPr>
              <w:tc>
                <w:tcPr>
                  <w:tcW w:w="2489"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b/>
                      <w:color w:val="auto"/>
                      <w:kern w:val="0"/>
                      <w:sz w:val="21"/>
                      <w:lang w:val="zh-CN"/>
                    </w:rPr>
                  </w:pPr>
                  <w:r>
                    <w:rPr>
                      <w:rFonts w:hint="eastAsia" w:ascii="宋体" w:hAnsi="宋体" w:eastAsia="宋体"/>
                      <w:b/>
                      <w:color w:val="auto"/>
                      <w:kern w:val="0"/>
                      <w:sz w:val="21"/>
                      <w:lang w:val="zh-CN"/>
                    </w:rPr>
                    <w:t>施工阶段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b/>
                      <w:color w:val="auto"/>
                      <w:kern w:val="0"/>
                      <w:sz w:val="21"/>
                      <w:lang w:val="zh-CN"/>
                    </w:rPr>
                  </w:pPr>
                  <w:r>
                    <w:rPr>
                      <w:rFonts w:hint="eastAsia" w:ascii="宋体" w:hAnsi="宋体" w:eastAsia="宋体"/>
                      <w:b/>
                      <w:color w:val="auto"/>
                      <w:kern w:val="0"/>
                      <w:sz w:val="21"/>
                      <w:lang w:val="zh-CN"/>
                    </w:rPr>
                    <w:t>声源</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645" w:leftChars="269" w:firstLine="105" w:firstLineChars="50"/>
                    <w:rPr>
                      <w:rFonts w:hint="default"/>
                      <w:b/>
                      <w:color w:val="auto"/>
                      <w:kern w:val="0"/>
                      <w:sz w:val="21"/>
                      <w:lang w:val="zh-CN"/>
                    </w:rPr>
                  </w:pPr>
                  <w:r>
                    <w:rPr>
                      <w:rFonts w:hint="eastAsia" w:ascii="宋体" w:hAnsi="宋体" w:eastAsia="宋体"/>
                      <w:b/>
                      <w:color w:val="auto"/>
                      <w:kern w:val="0"/>
                      <w:sz w:val="21"/>
                      <w:lang w:val="zh-CN"/>
                    </w:rPr>
                    <w:t>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78"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土石方阶段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挖掘机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78</w:t>
                  </w:r>
                  <w:r>
                    <w:rPr>
                      <w:rFonts w:hint="eastAsia" w:ascii="宋体" w:hAnsi="宋体" w:eastAsia="宋体"/>
                      <w:color w:val="auto"/>
                      <w:kern w:val="0"/>
                      <w:sz w:val="21"/>
                      <w:lang w:val="zh-CN"/>
                    </w:rPr>
                    <w:t>～96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12"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推土机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78"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装载机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85</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70" w:hRule="atLeast"/>
                <w:jc w:val="center"/>
              </w:trPr>
              <w:tc>
                <w:tcPr>
                  <w:tcW w:w="2489"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打桩阶段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静压打桩机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90</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4"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结构阶段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振捣机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00"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切割机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92"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模板拆卸</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95</w:t>
                  </w:r>
                  <w:r>
                    <w:rPr>
                      <w:rFonts w:hint="eastAsia" w:ascii="宋体" w:hAnsi="宋体" w:eastAsia="宋体"/>
                      <w:color w:val="auto"/>
                      <w:kern w:val="0"/>
                      <w:sz w:val="21"/>
                      <w:lang w:val="zh-CN"/>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70"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混凝土运送车</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90"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室内外装修阶段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电锯</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4"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sz w:val="21"/>
                    </w:rPr>
                    <w:t>砂浆机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sz w:val="21"/>
                    </w:rPr>
                  </w:pPr>
                  <w:r>
                    <w:rPr>
                      <w:rFonts w:hint="eastAsia" w:ascii="宋体" w:hAnsi="宋体" w:eastAsia="宋体"/>
                      <w:color w:val="auto"/>
                      <w:kern w:val="0"/>
                      <w:sz w:val="21"/>
                      <w:lang w:val="zh-CN"/>
                    </w:rPr>
                    <w:t>升降机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切割机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1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轻型载重卡车</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75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施工噪声比较突出的主要是基础挖掘施工场地以及施工运输道路。运输噪声为不连续性噪声，施工场地噪声为连续噪声。施工机械预测噪声预测结果见表4-3：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表4-3  各主要施工机械在不同距离处的贡献值     单位: dB（A）</w:t>
            </w:r>
          </w:p>
          <w:tbl>
            <w:tblPr>
              <w:tblStyle w:val="37"/>
              <w:tblW w:w="85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713"/>
              <w:gridCol w:w="749"/>
              <w:gridCol w:w="740"/>
              <w:gridCol w:w="740"/>
              <w:gridCol w:w="739"/>
              <w:gridCol w:w="740"/>
              <w:gridCol w:w="740"/>
              <w:gridCol w:w="740"/>
              <w:gridCol w:w="741"/>
              <w:gridCol w:w="7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eastAsia" w:ascii="宋体" w:hAnsi="宋体" w:eastAsia="宋体"/>
                      <w:b/>
                      <w:color w:val="auto"/>
                      <w:sz w:val="21"/>
                    </w:rPr>
                    <w:t>设备名称</w:t>
                  </w:r>
                </w:p>
              </w:tc>
              <w:tc>
                <w:tcPr>
                  <w:tcW w:w="41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eastAsia" w:ascii="宋体" w:hAnsi="宋体" w:eastAsia="宋体"/>
                      <w:b/>
                      <w:color w:val="auto"/>
                      <w:sz w:val="21"/>
                    </w:rPr>
                    <w:t>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10m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20m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30m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40m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50m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60m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100m</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200m</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500m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挖掘机</w:t>
                  </w:r>
                </w:p>
              </w:tc>
              <w:tc>
                <w:tcPr>
                  <w:tcW w:w="415" w:type="pct"/>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主体建筑</w:t>
                  </w:r>
                </w:p>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建设</w:t>
                  </w:r>
                  <w:r>
                    <w:rPr>
                      <w:rFonts w:hint="eastAsia" w:ascii="宋体" w:hAnsi="宋体" w:eastAsia="宋体"/>
                      <w:color w:val="auto"/>
                      <w:kern w:val="0"/>
                      <w:sz w:val="21"/>
                      <w:lang w:val="zh-CN"/>
                    </w:rPr>
                    <w:t>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装载机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打桩机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振捣机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切割机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模板拆卸</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搅拌机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噪声叠加</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90.8</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83.2</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78.8</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75.7</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73.3</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71.7</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65.7</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60.5</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电锯</w:t>
                  </w:r>
                </w:p>
              </w:tc>
              <w:tc>
                <w:tcPr>
                  <w:tcW w:w="415" w:type="pct"/>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both"/>
                    <w:rPr>
                      <w:rFonts w:hint="default"/>
                      <w:b/>
                      <w:color w:val="auto"/>
                      <w:sz w:val="21"/>
                    </w:rPr>
                  </w:pPr>
                  <w:r>
                    <w:rPr>
                      <w:rFonts w:hint="eastAsia" w:ascii="宋体" w:hAnsi="宋体" w:eastAsia="宋体"/>
                      <w:color w:val="auto"/>
                      <w:kern w:val="0"/>
                      <w:sz w:val="21"/>
                      <w:lang w:val="zh-CN"/>
                    </w:rPr>
                    <w:t>室内外装修阶段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沙浆机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17.2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升降机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切割机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噪声叠加</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76.0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70.5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57.0</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r>
          </w:tbl>
          <w:p>
            <w:pPr>
              <w:autoSpaceDE w:val="0"/>
              <w:autoSpaceDN w:val="0"/>
              <w:adjustRightInd w:val="0"/>
              <w:spacing w:line="360" w:lineRule="auto"/>
              <w:ind w:firstLine="480" w:firstLineChars="200"/>
              <w:rPr>
                <w:rFonts w:hint="eastAsia" w:ascii="Dutch" w:hAnsi="Dutch" w:eastAsia="宋体" w:cs="Times New Roman"/>
                <w:color w:val="auto"/>
                <w:sz w:val="24"/>
                <w:szCs w:val="20"/>
              </w:rPr>
            </w:pPr>
            <w:r>
              <w:rPr>
                <w:rFonts w:ascii="Dutch" w:hAnsi="Dutch" w:eastAsia="宋体" w:cs="Times New Roman"/>
                <w:color w:val="auto"/>
                <w:sz w:val="24"/>
                <w:szCs w:val="20"/>
              </w:rPr>
              <w:t>根据</w:t>
            </w:r>
            <w:r>
              <w:rPr>
                <w:rFonts w:hint="eastAsia" w:ascii="Dutch" w:hAnsi="Dutch" w:eastAsia="宋体" w:cs="Times New Roman"/>
                <w:color w:val="auto"/>
                <w:sz w:val="24"/>
                <w:szCs w:val="20"/>
              </w:rPr>
              <w:t>表</w:t>
            </w:r>
            <w:r>
              <w:rPr>
                <w:rFonts w:hint="eastAsia" w:ascii="Dutch" w:hAnsi="Dutch" w:eastAsia="宋体" w:cs="Times New Roman"/>
                <w:color w:val="auto"/>
                <w:sz w:val="24"/>
                <w:szCs w:val="20"/>
                <w:lang w:val="en-US" w:eastAsia="zh-CN"/>
              </w:rPr>
              <w:t>4-3</w:t>
            </w:r>
            <w:r>
              <w:rPr>
                <w:rFonts w:ascii="Dutch" w:hAnsi="Dutch" w:eastAsia="宋体" w:cs="Times New Roman"/>
                <w:color w:val="auto"/>
                <w:sz w:val="24"/>
                <w:szCs w:val="20"/>
              </w:rPr>
              <w:t>可知，在施工机械全部同时使用的情况下，本项目结构阶段场界噪声多声源叠加值62m范围外满足《建筑施工场界噪声限值》（GB12523-2011）昼间70dB（A）要求，500m范围外满足《建筑施工场界噪声限值》（GB12523-2011）夜间55dB（A）的要求；装修阶段场界噪声多声源叠加值51m范围内超过《建筑施工场界噪声限值》（GB12523-2011）昼间70dB（A）要求，201m范围内超过《建筑施工场界噪声限值》（GB12523-2011）夜间55dB（A）的要求。</w:t>
            </w:r>
          </w:p>
          <w:p>
            <w:pPr>
              <w:widowControl w:val="0"/>
              <w:adjustRightInd w:val="0"/>
              <w:snapToGrid w:val="0"/>
              <w:spacing w:line="360" w:lineRule="auto"/>
              <w:ind w:firstLine="480" w:firstLineChars="200"/>
              <w:jc w:val="both"/>
              <w:rPr>
                <w:rFonts w:hint="eastAsia" w:ascii="Dutch" w:hAnsi="Dutch" w:eastAsia="宋体" w:cs="Times New Roman"/>
                <w:color w:val="auto"/>
                <w:kern w:val="2"/>
                <w:sz w:val="24"/>
                <w:szCs w:val="18"/>
                <w:lang w:val="en-US" w:eastAsia="zh-CN" w:bidi="ar-SA"/>
              </w:rPr>
            </w:pPr>
            <w:r>
              <w:rPr>
                <w:rFonts w:ascii="Dutch" w:hAnsi="Dutch" w:eastAsia="宋体" w:cs="Times New Roman"/>
                <w:color w:val="auto"/>
                <w:kern w:val="2"/>
                <w:sz w:val="24"/>
                <w:szCs w:val="24"/>
                <w:lang w:val="en-US" w:eastAsia="zh-CN" w:bidi="ar-SA"/>
              </w:rPr>
              <w:t>结合</w:t>
            </w:r>
            <w:r>
              <w:rPr>
                <w:rFonts w:hint="eastAsia" w:ascii="Dutch" w:hAnsi="Dutch" w:eastAsia="宋体" w:cs="Times New Roman"/>
                <w:color w:val="auto"/>
                <w:kern w:val="2"/>
                <w:sz w:val="24"/>
                <w:szCs w:val="24"/>
                <w:lang w:val="en-US" w:eastAsia="zh-CN" w:bidi="ar-SA"/>
              </w:rPr>
              <w:t>表4-3</w:t>
            </w:r>
            <w:r>
              <w:rPr>
                <w:rFonts w:ascii="Dutch" w:hAnsi="Dutch" w:eastAsia="宋体" w:cs="Times New Roman"/>
                <w:color w:val="auto"/>
                <w:kern w:val="2"/>
                <w:sz w:val="24"/>
                <w:szCs w:val="24"/>
                <w:lang w:val="en-US" w:eastAsia="zh-CN" w:bidi="ar-SA"/>
              </w:rPr>
              <w:t>可知，大型施工设备发出的噪声衰减到</w:t>
            </w:r>
            <w:r>
              <w:rPr>
                <w:rFonts w:hint="eastAsia" w:ascii="Dutch" w:hAnsi="Dutch" w:eastAsia="宋体" w:cs="Times New Roman"/>
                <w:color w:val="auto"/>
                <w:kern w:val="2"/>
                <w:sz w:val="24"/>
                <w:szCs w:val="24"/>
                <w:lang w:val="en-US" w:eastAsia="zh-CN" w:bidi="ar-SA"/>
              </w:rPr>
              <w:t>80</w:t>
            </w:r>
            <w:r>
              <w:rPr>
                <w:rFonts w:ascii="Dutch" w:hAnsi="Dutch" w:eastAsia="宋体" w:cs="Times New Roman"/>
                <w:color w:val="auto"/>
                <w:kern w:val="2"/>
                <w:sz w:val="24"/>
                <w:szCs w:val="24"/>
                <w:lang w:val="en-US" w:eastAsia="zh-CN" w:bidi="ar-SA"/>
              </w:rPr>
              <w:t>m处不能满足《建筑施工厂界环境噪声排放标准》（GB12523-2011）的排放要求限值，以上预测的噪声值是各个机械运行时的噪声值，实际施工中，大型机械不可能都同时使用，噪声值将比叠加值小，同时项目在工棚内作业，噪声损失通常在25~30dB，由此，项目在到达厂界</w:t>
            </w:r>
            <w:r>
              <w:rPr>
                <w:rFonts w:hint="eastAsia" w:ascii="Dutch" w:hAnsi="Dutch" w:eastAsia="宋体" w:cs="Times New Roman"/>
                <w:color w:val="auto"/>
                <w:kern w:val="2"/>
                <w:sz w:val="24"/>
                <w:szCs w:val="24"/>
                <w:lang w:val="en-US" w:eastAsia="zh-CN" w:bidi="ar-SA"/>
              </w:rPr>
              <w:t>30</w:t>
            </w:r>
            <w:r>
              <w:rPr>
                <w:rFonts w:ascii="Dutch" w:hAnsi="Dutch" w:eastAsia="宋体" w:cs="Times New Roman"/>
                <w:color w:val="auto"/>
                <w:kern w:val="2"/>
                <w:sz w:val="24"/>
                <w:szCs w:val="24"/>
                <w:lang w:val="en-US" w:eastAsia="zh-CN" w:bidi="ar-SA"/>
              </w:rPr>
              <w:t>m处的噪声值为</w:t>
            </w:r>
            <w:r>
              <w:rPr>
                <w:rFonts w:hint="eastAsia" w:ascii="Dutch" w:hAnsi="Dutch" w:eastAsia="宋体" w:cs="Times New Roman"/>
                <w:color w:val="auto"/>
                <w:kern w:val="2"/>
                <w:sz w:val="24"/>
                <w:szCs w:val="24"/>
                <w:lang w:val="en-US" w:eastAsia="zh-CN" w:bidi="ar-SA"/>
              </w:rPr>
              <w:t>53.8</w:t>
            </w:r>
            <w:r>
              <w:rPr>
                <w:rFonts w:ascii="Dutch" w:hAnsi="Dutch" w:eastAsia="宋体" w:cs="Times New Roman"/>
                <w:color w:val="auto"/>
                <w:kern w:val="2"/>
                <w:sz w:val="24"/>
                <w:szCs w:val="24"/>
                <w:lang w:val="en-US" w:eastAsia="zh-CN" w:bidi="ar-SA"/>
              </w:rPr>
              <w:t>~</w:t>
            </w:r>
            <w:r>
              <w:rPr>
                <w:rFonts w:hint="eastAsia" w:ascii="Dutch" w:hAnsi="Dutch" w:eastAsia="宋体" w:cs="Times New Roman"/>
                <w:color w:val="auto"/>
                <w:kern w:val="2"/>
                <w:sz w:val="24"/>
                <w:szCs w:val="24"/>
                <w:lang w:val="en-US" w:eastAsia="zh-CN" w:bidi="ar-SA"/>
              </w:rPr>
              <w:t>38</w:t>
            </w:r>
            <w:r>
              <w:rPr>
                <w:rFonts w:ascii="Dutch" w:hAnsi="Dutch" w:eastAsia="宋体" w:cs="Times New Roman"/>
                <w:color w:val="auto"/>
                <w:kern w:val="2"/>
                <w:sz w:val="24"/>
                <w:szCs w:val="24"/>
                <w:lang w:val="en-US" w:eastAsia="zh-CN" w:bidi="ar-SA"/>
              </w:rPr>
              <w:t>dB，能满足《建筑施工厂界环境噪声排放标准》（GB12523-2011）的排放要求限值</w:t>
            </w:r>
            <w:r>
              <w:rPr>
                <w:rFonts w:hint="eastAsia" w:ascii="Dutch" w:hAnsi="Dutch" w:eastAsia="宋体" w:cs="Times New Roman"/>
                <w:color w:val="auto"/>
                <w:kern w:val="2"/>
                <w:sz w:val="24"/>
                <w:szCs w:val="24"/>
                <w:lang w:val="en-US" w:eastAsia="zh-CN" w:bidi="ar-SA"/>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Dutch" w:hAnsi="Dutch" w:eastAsia="宋体" w:cs="Times New Roman"/>
                <w:b/>
                <w:bCs/>
                <w:color w:val="auto"/>
                <w:kern w:val="2"/>
                <w:sz w:val="24"/>
                <w:szCs w:val="18"/>
                <w:lang w:val="en-US" w:eastAsia="zh-CN" w:bidi="ar-SA"/>
              </w:rPr>
            </w:pPr>
            <w:r>
              <w:rPr>
                <w:rFonts w:hint="eastAsia" w:ascii="Dutch" w:hAnsi="Dutch" w:eastAsia="宋体" w:cs="Times New Roman"/>
                <w:b/>
                <w:bCs/>
                <w:color w:val="auto"/>
                <w:kern w:val="2"/>
                <w:sz w:val="24"/>
                <w:szCs w:val="18"/>
                <w:lang w:val="en-US" w:eastAsia="zh-CN" w:bidi="ar-SA"/>
              </w:rPr>
              <w:t>噪声控制措施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①</w:t>
            </w:r>
            <w:r>
              <w:rPr>
                <w:rFonts w:hint="default" w:ascii="Times New Roman" w:hAnsi="Times New Roman" w:eastAsia="宋体" w:cs="Times New Roman"/>
                <w:color w:val="auto"/>
                <w:kern w:val="2"/>
                <w:sz w:val="24"/>
                <w:szCs w:val="18"/>
                <w:lang w:val="en-US" w:eastAsia="zh-CN" w:bidi="ar-SA"/>
              </w:rPr>
              <w:t>加强管理，合理施工，认真落实各项防治措施，同时与周围居民协调好关系，并注意听取周围单位的合理意见，就能尽量避免扰民事件的发生</w:t>
            </w:r>
            <w:r>
              <w:rPr>
                <w:rFonts w:hint="eastAsia" w:ascii="Times New Roman" w:hAnsi="Times New Roman" w:eastAsia="宋体" w:cs="Times New Roman"/>
                <w:color w:val="auto"/>
                <w:kern w:val="2"/>
                <w:sz w:val="24"/>
                <w:szCs w:val="18"/>
                <w:lang w:val="en-US" w:eastAsia="zh-CN" w:bidi="ar-SA"/>
              </w:rPr>
              <w:t>。</w:t>
            </w:r>
            <w:r>
              <w:rPr>
                <w:rFonts w:hint="default" w:ascii="Times New Roman" w:hAnsi="Times New Roman" w:eastAsia="宋体" w:cs="Times New Roman"/>
                <w:color w:val="auto"/>
                <w:kern w:val="2"/>
                <w:sz w:val="24"/>
                <w:szCs w:val="18"/>
                <w:lang w:val="en-US" w:eastAsia="zh-CN" w:bidi="ar-SA"/>
              </w:rPr>
              <w:t>施工期结束后，相应的噪声污染即随之消失，不会对周围环境产生长期不良影响</w:t>
            </w:r>
            <w:r>
              <w:rPr>
                <w:rFonts w:hint="eastAsia" w:ascii="Times New Roman" w:hAnsi="Times New Roman" w:eastAsia="宋体" w:cs="Times New Roman"/>
                <w:color w:val="auto"/>
                <w:kern w:val="2"/>
                <w:sz w:val="24"/>
                <w:szCs w:val="1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②夜间（22:00-6:00）、中午（12:00-14:00）期间不施工。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③运输车辆进入项目区后禁止鸣喇叭、减速行驶；空闲设备关闭，减少噪声的产生。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18"/>
                <w:lang w:val="en-US" w:eastAsia="zh-CN" w:bidi="ar-SA"/>
              </w:rPr>
            </w:pPr>
            <w:r>
              <w:rPr>
                <w:rFonts w:hint="eastAsia" w:eastAsia="宋体" w:cs="Times New Roman"/>
                <w:color w:val="auto"/>
                <w:kern w:val="2"/>
                <w:sz w:val="24"/>
                <w:szCs w:val="18"/>
                <w:lang w:val="en-US" w:eastAsia="zh-CN" w:bidi="ar-SA"/>
              </w:rPr>
              <w:t>④因必须连续作业夜间进行施工，须提前向生态环境管理部门办理夜间施工证明，并告之附近居民。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b/>
                <w:bCs/>
                <w:color w:val="auto"/>
                <w:sz w:val="24"/>
                <w:szCs w:val="20"/>
                <w:lang w:val="en-US" w:eastAsia="zh-CN"/>
              </w:rPr>
            </w:pPr>
            <w:r>
              <w:rPr>
                <w:rFonts w:hint="default" w:ascii="Dutch" w:hAnsi="Dutch" w:eastAsia="宋体" w:cs="Times New Roman"/>
                <w:b/>
                <w:bCs/>
                <w:color w:val="auto"/>
                <w:sz w:val="24"/>
                <w:szCs w:val="20"/>
                <w:lang w:val="en-US" w:eastAsia="zh-CN"/>
              </w:rPr>
              <w:t>5、生态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Dutch" w:hAnsi="Dutch" w:eastAsia="宋体" w:cs="Times New Roman"/>
                <w:b/>
                <w:bCs/>
                <w:color w:val="auto"/>
                <w:sz w:val="24"/>
                <w:szCs w:val="20"/>
                <w:lang w:val="en-US" w:eastAsia="zh-CN"/>
              </w:rPr>
            </w:pPr>
            <w:r>
              <w:rPr>
                <w:rFonts w:hint="eastAsia" w:ascii="Dutch" w:hAnsi="Dutch" w:eastAsia="宋体" w:cs="Times New Roman"/>
                <w:b/>
                <w:bCs/>
                <w:color w:val="auto"/>
                <w:sz w:val="24"/>
                <w:szCs w:val="20"/>
                <w:lang w:val="en-US" w:eastAsia="zh-CN"/>
              </w:rPr>
              <w:t>（1）生态环境影响分析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default" w:ascii="Dutch" w:hAnsi="Dutch" w:eastAsia="宋体" w:cs="Times New Roman"/>
                <w:color w:val="auto"/>
                <w:sz w:val="24"/>
                <w:szCs w:val="20"/>
                <w:lang w:val="en-US" w:eastAsia="zh-CN"/>
              </w:rPr>
              <w:t>施工期将进行土地平整、建筑物基础开挖、道路修筑等施工活动，若不加强管理，将造成表土裸露、松动，土壤抗蚀能力减弱，雨季侵蚀强度加大，如果不加强施工期的管理，加强防范措施，将加剧水土流失。水土流失会对工程所在区域的水土资源及生态环境带来一定影响，其可能产生的危害有以下几个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①</w:t>
            </w:r>
            <w:r>
              <w:rPr>
                <w:rFonts w:hint="default" w:ascii="Dutch" w:hAnsi="Dutch" w:eastAsia="宋体" w:cs="Times New Roman"/>
                <w:color w:val="auto"/>
                <w:sz w:val="24"/>
                <w:szCs w:val="20"/>
                <w:lang w:val="en-US" w:eastAsia="zh-CN"/>
              </w:rPr>
              <w:t>导致区域内水土流失加剧，区域环境受到影响；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②</w:t>
            </w:r>
            <w:r>
              <w:rPr>
                <w:rFonts w:hint="default" w:ascii="Dutch" w:hAnsi="Dutch" w:eastAsia="宋体" w:cs="Times New Roman"/>
                <w:color w:val="auto"/>
                <w:sz w:val="24"/>
                <w:szCs w:val="20"/>
                <w:lang w:val="en-US" w:eastAsia="zh-CN"/>
              </w:rPr>
              <w:t>对主体工程安全运行的影响。水土流失将影响本工程的施工建设和运行，工程施工期产生的建筑垃圾若不能及时有效地处理，将又会产生新的水土流失。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③</w:t>
            </w:r>
            <w:r>
              <w:rPr>
                <w:rFonts w:hint="default" w:ascii="Dutch" w:hAnsi="Dutch" w:eastAsia="宋体" w:cs="Times New Roman"/>
                <w:color w:val="auto"/>
                <w:sz w:val="24"/>
                <w:szCs w:val="20"/>
                <w:lang w:val="en-US" w:eastAsia="zh-CN"/>
              </w:rPr>
              <w:t>工程土方开挖、运输及材料运输的散落物在大风天气容易造成扬尘，且对周边环境有一定的影响。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Dutch" w:hAnsi="Dutch" w:eastAsia="宋体" w:cs="Times New Roman"/>
                <w:b/>
                <w:bCs/>
                <w:color w:val="auto"/>
                <w:sz w:val="24"/>
                <w:szCs w:val="20"/>
                <w:lang w:val="en-US" w:eastAsia="zh-CN"/>
              </w:rPr>
            </w:pPr>
            <w:r>
              <w:rPr>
                <w:rFonts w:hint="eastAsia" w:ascii="Dutch" w:hAnsi="Dutch" w:eastAsia="宋体" w:cs="Times New Roman"/>
                <w:b/>
                <w:bCs/>
                <w:color w:val="auto"/>
                <w:sz w:val="24"/>
                <w:szCs w:val="20"/>
                <w:lang w:val="en-US" w:eastAsia="zh-CN"/>
              </w:rPr>
              <w:t>（2）生态环境保护措施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ascii="Dutch" w:hAnsi="Dutch" w:eastAsia="宋体" w:cs="Times New Roman"/>
                <w:color w:val="auto"/>
                <w:sz w:val="24"/>
                <w:szCs w:val="20"/>
                <w:lang w:val="en-US" w:eastAsia="zh-CN"/>
              </w:rPr>
            </w:pPr>
            <w:r>
              <w:rPr>
                <w:rFonts w:hint="default" w:ascii="Dutch" w:hAnsi="Dutch" w:eastAsia="宋体" w:cs="Times New Roman"/>
                <w:color w:val="auto"/>
                <w:sz w:val="24"/>
                <w:szCs w:val="20"/>
                <w:lang w:val="en-US" w:eastAsia="zh-CN"/>
              </w:rPr>
              <w:t>项目施工场地较为平整，土石方量不是很大，故挖方过程中引起水土流失的可能性较小；但建设过程中施工期的土石渣料，不可避免的会产生部分水土流失；项目引起的水土流失会造成排水管网或河道的堵塞，严重时可能引起洪涝灾害。建设单位应采取设置临时雨水排水设施和夯实裸露地面等措施控制水土流失，并且施工应尽量在原有地形上进行，并采取“建成一片、绿化一片”的方式组织施工，使绿化的生态环境效益尽快能够体现，而且可以减小水土流失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59" w:type="dxa"/>
            <w:vAlign w:val="center"/>
          </w:tcPr>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jc w:val="center"/>
              <w:rPr>
                <w:rFonts w:cs="Times New Roman" w:asciiTheme="minorEastAsia" w:hAnsiTheme="minorEastAsia"/>
                <w:bCs/>
                <w:color w:val="auto"/>
                <w:sz w:val="30"/>
                <w:szCs w:val="30"/>
              </w:rPr>
            </w:pPr>
          </w:p>
          <w:p>
            <w:pPr>
              <w:ind w:firstLine="600"/>
              <w:jc w:val="center"/>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198" w:firstLineChars="66"/>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tc>
        <w:tc>
          <w:tcPr>
            <w:tcW w:w="8669" w:type="dxa"/>
            <w:vAlign w:val="center"/>
          </w:tcPr>
          <w:p>
            <w:pPr>
              <w:pStyle w:val="34"/>
              <w:ind w:firstLine="482"/>
              <w:rPr>
                <w:color w:val="auto"/>
              </w:rPr>
            </w:pPr>
            <w:r>
              <w:rPr>
                <w:color w:val="auto"/>
              </w:rPr>
              <w:t>1</w:t>
            </w:r>
            <w:r>
              <w:rPr>
                <w:rFonts w:hint="eastAsia"/>
                <w:color w:val="auto"/>
              </w:rPr>
              <w:t>、废气</w:t>
            </w:r>
          </w:p>
          <w:p>
            <w:pPr>
              <w:ind w:firstLine="480"/>
              <w:rPr>
                <w:color w:val="auto"/>
              </w:rPr>
            </w:pPr>
            <w:r>
              <w:rPr>
                <w:rFonts w:hint="eastAsia"/>
                <w:color w:val="auto"/>
              </w:rPr>
              <w:t>项目</w:t>
            </w:r>
            <w:r>
              <w:rPr>
                <w:color w:val="auto"/>
              </w:rPr>
              <w:t>主要废气排放为</w:t>
            </w:r>
            <w:r>
              <w:rPr>
                <w:rFonts w:hint="eastAsia"/>
                <w:color w:val="auto"/>
              </w:rPr>
              <w:t>：废水处理站、医院消毒、医疗废物和生活垃圾等产生的异味，发电机废气，以及食堂油烟。</w:t>
            </w:r>
          </w:p>
          <w:p>
            <w:pPr>
              <w:ind w:firstLine="480"/>
              <w:rPr>
                <w:rFonts w:hint="eastAsia" w:eastAsiaTheme="minorEastAsia"/>
                <w:b/>
                <w:bCs/>
                <w:color w:val="auto"/>
                <w:lang w:eastAsia="zh-CN"/>
              </w:rPr>
            </w:pPr>
            <w:r>
              <w:rPr>
                <w:rFonts w:hint="eastAsia"/>
                <w:b/>
                <w:bCs/>
                <w:color w:val="auto"/>
              </w:rPr>
              <w:t>（1）</w:t>
            </w:r>
            <w:r>
              <w:rPr>
                <w:rFonts w:hint="eastAsia"/>
                <w:b/>
                <w:bCs/>
                <w:color w:val="auto"/>
                <w:lang w:eastAsia="zh-CN"/>
              </w:rPr>
              <w:t>源强及环境影响分析</w:t>
            </w:r>
          </w:p>
          <w:p>
            <w:pPr>
              <w:ind w:firstLine="480"/>
              <w:rPr>
                <w:color w:val="auto"/>
              </w:rPr>
            </w:pPr>
            <w:r>
              <w:rPr>
                <w:rFonts w:hint="eastAsia"/>
                <w:color w:val="auto"/>
                <w:lang w:val="en-US" w:eastAsia="zh-CN"/>
              </w:rPr>
              <w:t>1）</w:t>
            </w:r>
            <w:r>
              <w:rPr>
                <w:rFonts w:hint="eastAsia"/>
                <w:color w:val="auto"/>
              </w:rPr>
              <w:t>备用发电机组烟气</w:t>
            </w:r>
          </w:p>
          <w:p>
            <w:pPr>
              <w:ind w:firstLine="480"/>
              <w:rPr>
                <w:color w:val="auto"/>
              </w:rPr>
            </w:pPr>
            <w:r>
              <w:rPr>
                <w:rFonts w:hint="eastAsia"/>
                <w:color w:val="auto"/>
              </w:rPr>
              <w:t>为防止停电造成医用设备不能正常运行，医院在</w:t>
            </w:r>
            <w:r>
              <w:rPr>
                <w:rFonts w:hint="eastAsia"/>
                <w:color w:val="auto"/>
                <w:lang w:val="en-US" w:eastAsia="zh-CN"/>
              </w:rPr>
              <w:t>地下一层</w:t>
            </w:r>
            <w:r>
              <w:rPr>
                <w:rFonts w:hint="eastAsia"/>
                <w:color w:val="auto"/>
              </w:rPr>
              <w:t>发电机房设置有一台</w:t>
            </w:r>
            <w:r>
              <w:rPr>
                <w:rFonts w:hint="eastAsia"/>
                <w:color w:val="auto"/>
                <w:lang w:val="en-US" w:eastAsia="zh-CN"/>
              </w:rPr>
              <w:t>250</w:t>
            </w:r>
            <w:r>
              <w:rPr>
                <w:rFonts w:hint="eastAsia"/>
                <w:color w:val="auto"/>
              </w:rPr>
              <w:t>kW的柴油发电机，发电过程中会产生一定量的燃油烟气，废气中主要污染物为</w:t>
            </w:r>
            <w:r>
              <w:rPr>
                <w:color w:val="auto"/>
              </w:rPr>
              <w:t>CO</w:t>
            </w:r>
            <w:r>
              <w:rPr>
                <w:rFonts w:hint="eastAsia"/>
                <w:color w:val="auto"/>
              </w:rPr>
              <w:t>、</w:t>
            </w:r>
            <w:r>
              <w:rPr>
                <w:color w:val="auto"/>
              </w:rPr>
              <w:t>HC</w:t>
            </w:r>
            <w:r>
              <w:rPr>
                <w:rFonts w:hint="eastAsia"/>
                <w:color w:val="auto"/>
              </w:rPr>
              <w:t>、</w:t>
            </w:r>
            <w:r>
              <w:rPr>
                <w:color w:val="auto"/>
              </w:rPr>
              <w:t>PM</w:t>
            </w:r>
            <w:r>
              <w:rPr>
                <w:color w:val="auto"/>
                <w:vertAlign w:val="subscript"/>
              </w:rPr>
              <w:t>10</w:t>
            </w:r>
            <w:r>
              <w:rPr>
                <w:rFonts w:hint="eastAsia"/>
                <w:color w:val="auto"/>
              </w:rPr>
              <w:t>、</w:t>
            </w:r>
            <w:r>
              <w:rPr>
                <w:color w:val="auto"/>
              </w:rPr>
              <w:t>NO</w:t>
            </w:r>
            <w:r>
              <w:rPr>
                <w:color w:val="auto"/>
                <w:vertAlign w:val="subscript"/>
              </w:rPr>
              <w:t>x</w:t>
            </w:r>
            <w:r>
              <w:rPr>
                <w:rFonts w:hint="eastAsia"/>
                <w:color w:val="auto"/>
              </w:rPr>
              <w:t>等。柴油发电机房将发动机烟气用管道引到室外绿化地排放，项目区域内供电系统较为稳定，备用发电机使用频率较低，废气产生量小对环境影响很小。</w:t>
            </w:r>
          </w:p>
          <w:p>
            <w:pPr>
              <w:ind w:firstLine="480"/>
              <w:rPr>
                <w:color w:val="auto"/>
              </w:rPr>
            </w:pPr>
            <w:r>
              <w:rPr>
                <w:rFonts w:hint="eastAsia"/>
                <w:color w:val="auto"/>
                <w:lang w:val="en-US" w:eastAsia="zh-CN"/>
              </w:rPr>
              <w:t>2）</w:t>
            </w:r>
            <w:r>
              <w:rPr>
                <w:rFonts w:hint="eastAsia"/>
                <w:color w:val="auto"/>
              </w:rPr>
              <w:t>异味</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污</w:t>
            </w:r>
            <w:r>
              <w:rPr>
                <w:rFonts w:hint="eastAsia"/>
                <w:color w:val="auto"/>
              </w:rPr>
              <w:t>水</w:t>
            </w:r>
            <w:r>
              <w:rPr>
                <w:color w:val="auto"/>
              </w:rPr>
              <w:t>处</w:t>
            </w:r>
            <w:r>
              <w:rPr>
                <w:rFonts w:hint="eastAsia"/>
                <w:color w:val="auto"/>
              </w:rPr>
              <w:t>理设</w:t>
            </w:r>
            <w:r>
              <w:rPr>
                <w:color w:val="auto"/>
              </w:rPr>
              <w:t>施异</w:t>
            </w:r>
            <w:r>
              <w:rPr>
                <w:rFonts w:hint="eastAsia"/>
                <w:color w:val="auto"/>
              </w:rPr>
              <w:t>味</w:t>
            </w:r>
          </w:p>
          <w:p>
            <w:pPr>
              <w:ind w:firstLine="480"/>
              <w:rPr>
                <w:color w:val="auto"/>
                <w:highlight w:val="none"/>
              </w:rPr>
            </w:pPr>
            <w:r>
              <w:rPr>
                <w:rFonts w:hint="eastAsia"/>
                <w:color w:val="auto"/>
                <w:highlight w:val="none"/>
              </w:rPr>
              <w:t>医院污水处理系统为地埋式，异味散发量很小，污水处理站位于</w:t>
            </w:r>
            <w:r>
              <w:rPr>
                <w:rFonts w:hint="eastAsia"/>
                <w:color w:val="auto"/>
                <w:highlight w:val="none"/>
                <w:lang w:eastAsia="zh-CN"/>
              </w:rPr>
              <w:t>住院部综合楼南面的地下一层</w:t>
            </w:r>
            <w:r>
              <w:rPr>
                <w:rFonts w:hint="eastAsia"/>
                <w:color w:val="auto"/>
                <w:highlight w:val="none"/>
                <w:lang w:val="en-US" w:eastAsia="zh-CN"/>
              </w:rPr>
              <w:t>，污水处理站采取地埋式，并加盖，产生的异味很少，经过自然扩散后</w:t>
            </w:r>
            <w:r>
              <w:rPr>
                <w:rFonts w:hint="eastAsia"/>
                <w:color w:val="auto"/>
                <w:highlight w:val="none"/>
              </w:rPr>
              <w:t>对人群和周围大气环境影响很小。</w:t>
            </w:r>
          </w:p>
          <w:p>
            <w:pPr>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消毒异味</w:t>
            </w:r>
          </w:p>
          <w:p>
            <w:pPr>
              <w:ind w:firstLine="480"/>
              <w:rPr>
                <w:color w:val="auto"/>
              </w:rPr>
            </w:pPr>
            <w:r>
              <w:rPr>
                <w:color w:val="auto"/>
              </w:rPr>
              <w:t>为降低</w:t>
            </w:r>
            <w:r>
              <w:rPr>
                <w:rFonts w:hint="eastAsia"/>
                <w:color w:val="auto"/>
                <w:lang w:eastAsia="zh-CN"/>
              </w:rPr>
              <w:t>医院</w:t>
            </w:r>
            <w:r>
              <w:rPr>
                <w:rFonts w:hint="eastAsia"/>
                <w:color w:val="auto"/>
              </w:rPr>
              <w:t>内</w:t>
            </w:r>
            <w:r>
              <w:rPr>
                <w:color w:val="auto"/>
              </w:rPr>
              <w:t>空气中的含菌量，院内经常使用</w:t>
            </w:r>
            <w:r>
              <w:rPr>
                <w:rFonts w:hint="eastAsia"/>
                <w:color w:val="auto"/>
              </w:rPr>
              <w:t>次氯酸钠、过氧乙酸等</w:t>
            </w:r>
            <w:r>
              <w:rPr>
                <w:color w:val="auto"/>
              </w:rPr>
              <w:t>消毒剂对楼道、卫生间等进行消毒处理，此过程中会有少量异味产生；</w:t>
            </w:r>
            <w:r>
              <w:rPr>
                <w:rFonts w:hint="eastAsia"/>
                <w:color w:val="auto"/>
              </w:rPr>
              <w:t>此外，项目对衣物进行洗涤消毒过程采用的次氯酸钠消毒间也会产生少量异味。医院消毒异味主要为消毒剂挥发产生，其产生量不大，且主要在室内产生，在保证正常通风换气的情况下，对院内人群和周围环境影响不大。</w:t>
            </w:r>
          </w:p>
          <w:p>
            <w:pPr>
              <w:ind w:firstLine="48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lang w:val="en-US" w:eastAsia="zh-CN"/>
              </w:rPr>
              <w:t>医疗</w:t>
            </w:r>
            <w:r>
              <w:rPr>
                <w:rFonts w:hint="eastAsia"/>
                <w:color w:val="auto"/>
              </w:rPr>
              <w:t>废物暂存间异味</w:t>
            </w:r>
          </w:p>
          <w:p>
            <w:pPr>
              <w:ind w:left="0" w:leftChars="0" w:firstLine="0" w:firstLineChars="0"/>
              <w:rPr>
                <w:rFonts w:hint="eastAsia"/>
                <w:color w:val="auto"/>
              </w:rPr>
            </w:pPr>
            <w:r>
              <w:rPr>
                <w:rFonts w:hint="eastAsia"/>
                <w:color w:val="auto"/>
              </w:rPr>
              <w:t>医疗废物暂存间主要用于临时存储项目内产生的医疗固废，医疗固废上残留的药品、血液、体液</w:t>
            </w:r>
            <w:r>
              <w:rPr>
                <w:rFonts w:hint="eastAsia"/>
                <w:color w:val="auto"/>
                <w:lang w:val="en-US" w:eastAsia="zh-CN"/>
              </w:rPr>
              <w:t>及</w:t>
            </w:r>
            <w:r>
              <w:rPr>
                <w:rFonts w:hint="eastAsia"/>
                <w:color w:val="auto"/>
              </w:rPr>
              <w:t>排泄物污染等在临时贮存过程中会有恶臭产生。医院医疗废物装入收集</w:t>
            </w:r>
            <w:r>
              <w:rPr>
                <w:rFonts w:hint="eastAsia"/>
                <w:color w:val="auto"/>
                <w:lang w:val="en-US" w:eastAsia="zh-CN"/>
              </w:rPr>
              <w:t>箱</w:t>
            </w:r>
            <w:r>
              <w:rPr>
                <w:rFonts w:hint="eastAsia"/>
                <w:color w:val="auto"/>
              </w:rPr>
              <w:t>后放置于周转箱内</w:t>
            </w:r>
            <w:r>
              <w:rPr>
                <w:rFonts w:hint="eastAsia"/>
                <w:color w:val="auto"/>
                <w:lang w:eastAsia="zh-CN"/>
              </w:rPr>
              <w:t>，</w:t>
            </w:r>
            <w:r>
              <w:rPr>
                <w:rFonts w:hint="eastAsia"/>
                <w:color w:val="auto"/>
              </w:rPr>
              <w:t>医疗废物暂存间位于</w:t>
            </w:r>
            <w:r>
              <w:rPr>
                <w:rFonts w:hint="eastAsia"/>
                <w:color w:val="auto"/>
                <w:lang w:eastAsia="zh-CN"/>
              </w:rPr>
              <w:t>主入口门卫消控室旁边的</w:t>
            </w:r>
            <w:r>
              <w:rPr>
                <w:rFonts w:hint="eastAsia"/>
                <w:color w:val="auto"/>
              </w:rPr>
              <w:t>独立房间内，平时暂存间均处于密闭状态，散发到外界的异味很小，暂存时间短，暂存时间不超过48小时，对周围环境影响较小。</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Theme="minorEastAsia"/>
                <w:color w:val="auto"/>
                <w:lang w:val="en-US" w:eastAsia="zh-CN"/>
              </w:rPr>
            </w:pPr>
            <w:r>
              <w:rPr>
                <w:rFonts w:hint="eastAsia"/>
                <w:color w:val="auto"/>
                <w:highlight w:val="none"/>
                <w:lang w:val="en-US" w:eastAsia="zh-CN"/>
              </w:rPr>
              <w:t>根据《医疗废物管理条例》</w:t>
            </w:r>
            <w:r>
              <w:rPr>
                <w:rFonts w:hint="eastAsia"/>
                <w:color w:val="auto"/>
                <w:highlight w:val="none"/>
              </w:rPr>
              <w:t>第十七条</w:t>
            </w:r>
            <w:r>
              <w:rPr>
                <w:rFonts w:hint="eastAsia"/>
                <w:color w:val="auto"/>
                <w:highlight w:val="none"/>
                <w:lang w:eastAsia="zh-CN"/>
              </w:rPr>
              <w:t>：</w:t>
            </w:r>
            <w:r>
              <w:rPr>
                <w:rFonts w:hint="default"/>
                <w:color w:val="auto"/>
                <w:highlight w:val="none"/>
              </w:rPr>
              <w:t>医疗卫生机构应当建立医疗废物的暂时贮存设施、设备，不得露天存放医疗废物</w:t>
            </w:r>
            <w:r>
              <w:rPr>
                <w:rFonts w:hint="eastAsia"/>
                <w:color w:val="auto"/>
                <w:highlight w:val="none"/>
                <w:lang w:eastAsia="zh-CN"/>
              </w:rPr>
              <w:t>，</w:t>
            </w:r>
            <w:r>
              <w:rPr>
                <w:rFonts w:hint="default"/>
                <w:color w:val="auto"/>
                <w:highlight w:val="none"/>
              </w:rPr>
              <w:t>医疗废物暂时贮存的时间不得超过2天</w:t>
            </w:r>
            <w:r>
              <w:rPr>
                <w:rFonts w:hint="eastAsia"/>
                <w:color w:val="auto"/>
                <w:highlight w:val="none"/>
                <w:lang w:eastAsia="zh-CN"/>
              </w:rPr>
              <w:t>；</w:t>
            </w:r>
            <w:r>
              <w:rPr>
                <w:rFonts w:hint="eastAsia"/>
                <w:color w:val="auto"/>
                <w:highlight w:val="none"/>
                <w:lang w:val="en-US" w:eastAsia="zh-CN"/>
              </w:rPr>
              <w:t>根据《医疗卫生机构医疗废物管理办法》</w:t>
            </w:r>
            <w:r>
              <w:rPr>
                <w:rFonts w:hint="eastAsia"/>
                <w:color w:val="auto"/>
                <w:highlight w:val="none"/>
              </w:rPr>
              <w:t>第</w:t>
            </w:r>
            <w:r>
              <w:rPr>
                <w:rFonts w:hint="eastAsia"/>
                <w:color w:val="auto"/>
                <w:highlight w:val="none"/>
                <w:lang w:val="en-US" w:eastAsia="zh-CN"/>
              </w:rPr>
              <w:t>二十</w:t>
            </w:r>
            <w:r>
              <w:rPr>
                <w:rFonts w:hint="eastAsia"/>
                <w:color w:val="auto"/>
                <w:highlight w:val="none"/>
              </w:rPr>
              <w:t>条</w:t>
            </w:r>
            <w:r>
              <w:rPr>
                <w:rFonts w:hint="eastAsia"/>
                <w:color w:val="auto"/>
                <w:highlight w:val="none"/>
                <w:lang w:eastAsia="zh-CN"/>
              </w:rPr>
              <w:t>：</w:t>
            </w:r>
            <w:r>
              <w:rPr>
                <w:rFonts w:hint="eastAsia"/>
                <w:color w:val="auto"/>
                <w:highlight w:val="none"/>
              </w:rPr>
              <w:t>医疗卫生机构应当建立医疗废物暂时贮存设施、设备，不得露天存放医疗废物</w:t>
            </w:r>
            <w:r>
              <w:rPr>
                <w:rFonts w:hint="eastAsia"/>
                <w:color w:val="auto"/>
                <w:highlight w:val="none"/>
                <w:lang w:eastAsia="zh-CN"/>
              </w:rPr>
              <w:t>，</w:t>
            </w:r>
            <w:r>
              <w:rPr>
                <w:rFonts w:hint="eastAsia"/>
                <w:color w:val="auto"/>
                <w:highlight w:val="none"/>
              </w:rPr>
              <w:t>医疗废物暂存的时间不得超过2天</w:t>
            </w:r>
            <w:r>
              <w:rPr>
                <w:rFonts w:hint="eastAsia"/>
                <w:color w:val="auto"/>
                <w:highlight w:val="none"/>
                <w:lang w:eastAsia="zh-CN"/>
              </w:rPr>
              <w:t>。</w:t>
            </w:r>
            <w:r>
              <w:rPr>
                <w:rFonts w:hint="default" w:ascii="Times New Roman" w:hAnsi="Times New Roman" w:cs="Times New Roman"/>
                <w:color w:val="auto"/>
                <w:spacing w:val="0"/>
                <w:kern w:val="2"/>
                <w:sz w:val="24"/>
                <w:highlight w:val="none"/>
                <w:lang w:eastAsia="zh-CN"/>
              </w:rPr>
              <w:t>楚雄州姚安县医疗废弃物收集转运站</w:t>
            </w:r>
            <w:r>
              <w:rPr>
                <w:rFonts w:hint="eastAsia" w:cs="Times New Roman"/>
                <w:color w:val="auto"/>
                <w:spacing w:val="0"/>
                <w:kern w:val="2"/>
                <w:sz w:val="24"/>
                <w:highlight w:val="none"/>
                <w:lang w:val="en-US" w:eastAsia="zh-CN"/>
              </w:rPr>
              <w:t>于2021年5月建成，</w:t>
            </w:r>
            <w:r>
              <w:rPr>
                <w:rFonts w:hint="default" w:ascii="Times New Roman" w:hAnsi="Times New Roman" w:cs="Times New Roman"/>
                <w:color w:val="auto"/>
                <w:spacing w:val="0"/>
                <w:kern w:val="2"/>
                <w:sz w:val="24"/>
                <w:highlight w:val="none"/>
                <w:lang w:val="en-US" w:eastAsia="zh-CN"/>
              </w:rPr>
              <w:t>2021年8月底建成投入试运营</w:t>
            </w:r>
            <w:r>
              <w:rPr>
                <w:rFonts w:hint="eastAsia" w:cs="Times New Roman"/>
                <w:color w:val="auto"/>
                <w:spacing w:val="0"/>
                <w:kern w:val="2"/>
                <w:sz w:val="24"/>
                <w:highlight w:val="none"/>
                <w:lang w:val="en-US" w:eastAsia="zh-CN"/>
              </w:rPr>
              <w:t>，</w:t>
            </w:r>
            <w:r>
              <w:rPr>
                <w:rFonts w:hint="default" w:ascii="Times New Roman" w:hAnsi="Times New Roman" w:eastAsia="宋体" w:cs="Times New Roman"/>
                <w:color w:val="auto"/>
                <w:spacing w:val="0"/>
                <w:kern w:val="2"/>
                <w:sz w:val="24"/>
                <w:szCs w:val="24"/>
                <w:highlight w:val="none"/>
                <w:lang w:val="en-US" w:eastAsia="zh-CN" w:bidi="ar"/>
              </w:rPr>
              <w:t>20</w:t>
            </w:r>
            <w:r>
              <w:rPr>
                <w:rFonts w:hint="default" w:ascii="Times New Roman" w:hAnsi="Times New Roman" w:cs="Times New Roman"/>
                <w:color w:val="auto"/>
                <w:spacing w:val="0"/>
                <w:kern w:val="2"/>
                <w:sz w:val="24"/>
                <w:szCs w:val="24"/>
                <w:highlight w:val="none"/>
                <w:lang w:val="en-US" w:eastAsia="zh-CN" w:bidi="ar"/>
              </w:rPr>
              <w:t>21</w:t>
            </w:r>
            <w:r>
              <w:rPr>
                <w:rFonts w:hint="default" w:ascii="Times New Roman" w:hAnsi="Times New Roman" w:eastAsia="宋体" w:cs="Times New Roman"/>
                <w:color w:val="auto"/>
                <w:spacing w:val="0"/>
                <w:kern w:val="2"/>
                <w:sz w:val="24"/>
                <w:szCs w:val="24"/>
                <w:highlight w:val="none"/>
                <w:lang w:val="en-US" w:eastAsia="zh-CN" w:bidi="ar"/>
              </w:rPr>
              <w:t>年</w:t>
            </w:r>
            <w:r>
              <w:rPr>
                <w:rFonts w:hint="eastAsia" w:ascii="Times New Roman" w:hAnsi="Times New Roman" w:cs="Times New Roman"/>
                <w:color w:val="auto"/>
                <w:spacing w:val="0"/>
                <w:kern w:val="2"/>
                <w:sz w:val="24"/>
                <w:szCs w:val="24"/>
                <w:highlight w:val="none"/>
                <w:lang w:val="en-US" w:eastAsia="zh-CN" w:bidi="ar"/>
              </w:rPr>
              <w:t>10</w:t>
            </w:r>
            <w:r>
              <w:rPr>
                <w:rFonts w:hint="default" w:ascii="Times New Roman" w:hAnsi="Times New Roman" w:eastAsia="宋体" w:cs="Times New Roman"/>
                <w:color w:val="auto"/>
                <w:spacing w:val="0"/>
                <w:kern w:val="2"/>
                <w:sz w:val="24"/>
                <w:szCs w:val="24"/>
                <w:highlight w:val="none"/>
                <w:lang w:val="en-US" w:eastAsia="zh-CN" w:bidi="ar"/>
              </w:rPr>
              <w:t>月</w:t>
            </w:r>
            <w:r>
              <w:rPr>
                <w:rFonts w:hint="eastAsia" w:eastAsia="宋体" w:cs="Times New Roman"/>
                <w:color w:val="auto"/>
                <w:spacing w:val="0"/>
                <w:kern w:val="2"/>
                <w:sz w:val="24"/>
                <w:szCs w:val="24"/>
                <w:highlight w:val="none"/>
                <w:lang w:val="en-US" w:eastAsia="zh-CN" w:bidi="ar"/>
              </w:rPr>
              <w:t>完成竣工环境保护验收，现由姚安县人民医院托管。楚雄州姚安县医疗废弃物收集转运站</w:t>
            </w:r>
            <w:r>
              <w:rPr>
                <w:rFonts w:hint="eastAsia"/>
                <w:color w:val="auto"/>
                <w:highlight w:val="none"/>
                <w:lang w:val="en-US" w:eastAsia="zh-CN"/>
              </w:rPr>
              <w:t>与楚雄利盈医疗废物处理有限公司已签订医疗废物处置合同。根据楚雄州姚安县医疗废弃物收集转运站管理方案，姚安县所有公立医院产生的医疗废物将由楚雄利盈医疗废物处理有限公司统一分类清运到楚雄州姚安县医疗废弃物收集转运站，日产日清，再运送至楚雄利盈医疗废物处理有限公司处置。故本项目产生的医疗废物分类暂存后，由楚雄利盈医疗废物处理有限公司清运处置。本环评要求建设单位每日产生的医疗废物及时联系楚雄利盈医疗废物处理有限公司清运，</w:t>
            </w:r>
            <w:r>
              <w:rPr>
                <w:rFonts w:hint="eastAsia" w:ascii="宋体" w:hAnsi="宋体"/>
                <w:color w:val="auto"/>
                <w:sz w:val="24"/>
                <w:szCs w:val="24"/>
                <w:highlight w:val="none"/>
                <w:lang w:val="en-US" w:eastAsia="zh-CN"/>
              </w:rPr>
              <w:t>避免医疗废物长时间滞留在项目区，违反</w:t>
            </w:r>
            <w:r>
              <w:rPr>
                <w:rFonts w:hint="eastAsia"/>
                <w:color w:val="auto"/>
                <w:highlight w:val="none"/>
                <w:lang w:val="en-US" w:eastAsia="zh-CN"/>
              </w:rPr>
              <w:t>《医疗废物管理条例》及《医疗卫生机构医疗废物管理办法》中的相关规定，</w:t>
            </w:r>
            <w:r>
              <w:rPr>
                <w:rFonts w:hint="eastAsia" w:ascii="宋体" w:hAnsi="宋体"/>
                <w:color w:val="auto"/>
                <w:sz w:val="24"/>
                <w:szCs w:val="24"/>
                <w:highlight w:val="none"/>
                <w:lang w:val="en-US" w:eastAsia="zh-CN"/>
              </w:rPr>
              <w:t>造成环境污染。</w:t>
            </w:r>
          </w:p>
          <w:p>
            <w:pPr>
              <w:ind w:firstLine="480"/>
              <w:rPr>
                <w:color w:val="auto"/>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生活垃圾异味</w:t>
            </w:r>
          </w:p>
          <w:p>
            <w:pPr>
              <w:ind w:firstLine="480"/>
              <w:rPr>
                <w:rFonts w:hint="eastAsia"/>
                <w:color w:val="auto"/>
              </w:rPr>
            </w:pPr>
            <w:r>
              <w:rPr>
                <w:color w:val="auto"/>
              </w:rPr>
              <w:t>生活垃圾中含有各类易发酵的有机物，尤其是在气温较高时，如果管理处置不当，生活垃圾在堆存、压装、运输过程中会散发出较难闻的恶臭气体</w:t>
            </w:r>
            <w:r>
              <w:rPr>
                <w:rFonts w:hint="eastAsia"/>
                <w:color w:val="auto"/>
              </w:rPr>
              <w:t>。目前医院生活通过垃圾桶收集后统一投掷垃圾箱内，垃圾箱平时处于密封，</w:t>
            </w:r>
            <w:r>
              <w:rPr>
                <w:rFonts w:hint="eastAsia"/>
                <w:color w:val="auto"/>
                <w:lang w:eastAsia="zh-CN"/>
              </w:rPr>
              <w:t>产生的生活垃圾当天</w:t>
            </w:r>
            <w:r>
              <w:rPr>
                <w:rFonts w:hint="eastAsia"/>
                <w:color w:val="auto"/>
              </w:rPr>
              <w:t>由</w:t>
            </w:r>
            <w:r>
              <w:rPr>
                <w:rFonts w:hint="eastAsia"/>
                <w:color w:val="auto"/>
                <w:lang w:eastAsia="zh-CN"/>
              </w:rPr>
              <w:t>当地</w:t>
            </w:r>
            <w:r>
              <w:rPr>
                <w:rFonts w:hint="eastAsia"/>
                <w:color w:val="auto"/>
              </w:rPr>
              <w:t>环卫部门清运，生活垃圾异味产生量很少，对周围环境影响较小。</w:t>
            </w:r>
          </w:p>
          <w:p>
            <w:pPr>
              <w:numPr>
                <w:ilvl w:val="0"/>
                <w:numId w:val="0"/>
              </w:numPr>
              <w:ind w:leftChars="200"/>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）监测频次</w:t>
            </w:r>
          </w:p>
          <w:p>
            <w:pPr>
              <w:numPr>
                <w:ilvl w:val="0"/>
                <w:numId w:val="0"/>
              </w:numPr>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eastAsia="zh-CN"/>
              </w:rPr>
              <w:t>表</w:t>
            </w:r>
            <w:r>
              <w:rPr>
                <w:rFonts w:hint="eastAsia"/>
                <w:b/>
                <w:bCs/>
                <w:color w:val="auto"/>
                <w:sz w:val="21"/>
                <w:szCs w:val="21"/>
                <w:lang w:val="en-US" w:eastAsia="zh-CN"/>
              </w:rPr>
              <w:t>4-4 废气监测计划一览表</w:t>
            </w:r>
          </w:p>
          <w:tbl>
            <w:tblPr>
              <w:tblStyle w:val="37"/>
              <w:tblW w:w="8594"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5"/>
              <w:gridCol w:w="1602"/>
              <w:gridCol w:w="334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b/>
                      <w:bCs/>
                      <w:color w:val="auto"/>
                      <w:sz w:val="21"/>
                    </w:rPr>
                  </w:pPr>
                  <w:r>
                    <w:rPr>
                      <w:rFonts w:hint="eastAsia" w:eastAsia="宋体"/>
                      <w:b/>
                      <w:bCs/>
                      <w:color w:val="auto"/>
                      <w:sz w:val="21"/>
                    </w:rPr>
                    <w:t>监测时段</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b/>
                      <w:bCs/>
                      <w:color w:val="auto"/>
                      <w:sz w:val="21"/>
                    </w:rPr>
                  </w:pPr>
                  <w:r>
                    <w:rPr>
                      <w:rFonts w:hint="eastAsia" w:eastAsia="宋体"/>
                      <w:b/>
                      <w:bCs/>
                      <w:color w:val="auto"/>
                      <w:sz w:val="21"/>
                    </w:rPr>
                    <w:t>监测项目</w:t>
                  </w:r>
                </w:p>
              </w:tc>
              <w:tc>
                <w:tcPr>
                  <w:tcW w:w="160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lang w:eastAsia="zh-CN"/>
                    </w:rPr>
                    <w:t>监测点位</w:t>
                  </w:r>
                </w:p>
              </w:tc>
              <w:tc>
                <w:tcPr>
                  <w:tcW w:w="334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rPr>
                    <w:t>监测</w:t>
                  </w:r>
                  <w:r>
                    <w:rPr>
                      <w:rFonts w:hint="eastAsia" w:eastAsia="宋体"/>
                      <w:b/>
                      <w:bCs/>
                      <w:color w:val="auto"/>
                      <w:sz w:val="21"/>
                      <w:lang w:eastAsia="zh-CN"/>
                    </w:rPr>
                    <w:t>因子</w:t>
                  </w:r>
                </w:p>
              </w:tc>
              <w:tc>
                <w:tcPr>
                  <w:tcW w:w="12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rPr>
                    <w:t>监测</w:t>
                  </w:r>
                  <w:r>
                    <w:rPr>
                      <w:rFonts w:hint="eastAsia" w:eastAsia="宋体"/>
                      <w:b/>
                      <w:bCs/>
                      <w:color w:val="auto"/>
                      <w:sz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color w:val="auto"/>
                      <w:sz w:val="21"/>
                    </w:rPr>
                  </w:pPr>
                  <w:r>
                    <w:rPr>
                      <w:rFonts w:hint="eastAsia" w:eastAsia="宋体"/>
                      <w:color w:val="auto"/>
                      <w:sz w:val="21"/>
                    </w:rPr>
                    <w:t>运营期</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eastAsia="宋体"/>
                      <w:color w:val="auto"/>
                      <w:sz w:val="21"/>
                      <w:lang w:eastAsia="zh-CN"/>
                    </w:rPr>
                    <w:t>废气</w:t>
                  </w:r>
                </w:p>
              </w:tc>
              <w:tc>
                <w:tcPr>
                  <w:tcW w:w="160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eastAsia="宋体"/>
                      <w:color w:val="auto"/>
                      <w:sz w:val="21"/>
                      <w:lang w:eastAsia="zh-CN"/>
                    </w:rPr>
                    <w:t>污水处理站四周</w:t>
                  </w:r>
                </w:p>
              </w:tc>
              <w:tc>
                <w:tcPr>
                  <w:tcW w:w="334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color w:val="auto"/>
                      <w:sz w:val="21"/>
                      <w:lang w:eastAsia="zh-CN"/>
                    </w:rPr>
                    <w:t>氨、硫化氢、甲烷、臭气浓度、氯气</w:t>
                  </w:r>
                </w:p>
              </w:tc>
              <w:tc>
                <w:tcPr>
                  <w:tcW w:w="12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default" w:eastAsia="宋体"/>
                      <w:color w:val="auto"/>
                      <w:sz w:val="21"/>
                      <w:lang w:val="en-US" w:eastAsia="zh-CN"/>
                    </w:rPr>
                  </w:pPr>
                  <w:r>
                    <w:rPr>
                      <w:rFonts w:hint="eastAsia" w:eastAsia="宋体"/>
                      <w:color w:val="auto"/>
                      <w:sz w:val="21"/>
                      <w:lang w:val="en-US" w:eastAsia="zh-CN"/>
                    </w:rPr>
                    <w:t>1次/季度</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2</w:t>
            </w:r>
            <w:r>
              <w:rPr>
                <w:rFonts w:hint="eastAsia"/>
                <w:color w:val="auto"/>
              </w:rPr>
              <w:t>、废水</w:t>
            </w:r>
          </w:p>
          <w:p>
            <w:pPr>
              <w:ind w:firstLine="482"/>
              <w:rPr>
                <w:rFonts w:hint="eastAsia"/>
                <w:b w:val="0"/>
                <w:bCs/>
                <w:color w:val="auto"/>
              </w:rPr>
            </w:pPr>
            <w:r>
              <w:rPr>
                <w:rFonts w:hint="eastAsia"/>
                <w:b w:val="0"/>
                <w:bCs/>
                <w:color w:val="auto"/>
              </w:rPr>
              <w:t>项目内不设职工宿舍，职工不在医院住宿。项目在运营期产生的废水主要分为四类，一为门诊废水；二为住院部废水；三为检验科废水。</w:t>
            </w:r>
          </w:p>
          <w:p>
            <w:pPr>
              <w:ind w:firstLine="482"/>
              <w:rPr>
                <w:b/>
                <w:color w:val="auto"/>
              </w:rPr>
            </w:pPr>
            <w:r>
              <w:rPr>
                <w:rFonts w:hint="eastAsia"/>
                <w:b/>
                <w:color w:val="auto"/>
              </w:rPr>
              <w:t>（1）废水产生量</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s="Times New Roman"/>
                <w:bCs/>
                <w:color w:val="auto"/>
                <w:lang w:val="en-US" w:eastAsia="zh-CN"/>
              </w:rPr>
            </w:pPr>
            <w:r>
              <w:rPr>
                <w:rFonts w:hint="eastAsia" w:eastAsia="宋体" w:cs="Times New Roman"/>
                <w:bCs/>
                <w:color w:val="auto"/>
                <w:lang w:eastAsia="zh-CN"/>
              </w:rPr>
              <w:t>废水的来源见表</w:t>
            </w:r>
            <w:r>
              <w:rPr>
                <w:rFonts w:hint="eastAsia" w:eastAsia="宋体" w:cs="Times New Roman"/>
                <w:bCs/>
                <w:color w:val="auto"/>
                <w:lang w:val="en-US" w:eastAsia="zh-CN"/>
              </w:rPr>
              <w:t>4-5。</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表4-5  项目运营期废水种类及来源</w:t>
            </w:r>
          </w:p>
          <w:tbl>
            <w:tblPr>
              <w:tblStyle w:val="38"/>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废水种类</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门诊废水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求医人员、陪同人员、医务人员、行政人员洗手、清洁等用水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住院废水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（1）各科室病人及陪护人员的冲厕、盥洗、清洁用水（2）洗衣房被服清洁用水（3）医务人员用水。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检验废水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包括化验室、医学影像科、放射科及口腔科等科室产生的废水</w:t>
                  </w:r>
                </w:p>
              </w:tc>
            </w:tr>
          </w:tbl>
          <w:p>
            <w:pPr>
              <w:ind w:firstLine="482"/>
              <w:rPr>
                <w:rFonts w:hAnsi="宋体" w:eastAsia="宋体" w:cs="Times New Roman"/>
                <w:b/>
                <w:bCs/>
                <w:color w:val="auto"/>
              </w:rPr>
            </w:pPr>
            <w:r>
              <w:rPr>
                <w:rFonts w:hAnsi="宋体" w:eastAsia="宋体" w:cs="Times New Roman"/>
                <w:b/>
                <w:bCs/>
                <w:color w:val="auto"/>
              </w:rPr>
              <w:fldChar w:fldCharType="begin"/>
            </w:r>
            <w:r>
              <w:rPr>
                <w:rFonts w:hAnsi="宋体" w:eastAsia="宋体" w:cs="Times New Roman"/>
                <w:b/>
                <w:bCs/>
                <w:color w:val="auto"/>
              </w:rPr>
              <w:instrText xml:space="preserve"> </w:instrText>
            </w:r>
            <w:r>
              <w:rPr>
                <w:rFonts w:hint="eastAsia" w:hAnsi="宋体" w:eastAsia="宋体" w:cs="Times New Roman"/>
                <w:b/>
                <w:bCs/>
                <w:color w:val="auto"/>
              </w:rPr>
              <w:instrText xml:space="preserve">= 1 \* GB3</w:instrText>
            </w:r>
            <w:r>
              <w:rPr>
                <w:rFonts w:hAnsi="宋体" w:eastAsia="宋体" w:cs="Times New Roman"/>
                <w:b/>
                <w:bCs/>
                <w:color w:val="auto"/>
              </w:rPr>
              <w:instrText xml:space="preserve"> </w:instrText>
            </w:r>
            <w:r>
              <w:rPr>
                <w:rFonts w:hAnsi="宋体" w:eastAsia="宋体" w:cs="Times New Roman"/>
                <w:b/>
                <w:bCs/>
                <w:color w:val="auto"/>
              </w:rPr>
              <w:fldChar w:fldCharType="separate"/>
            </w:r>
            <w:r>
              <w:rPr>
                <w:rFonts w:hint="eastAsia" w:hAnsi="宋体" w:eastAsia="宋体" w:cs="Times New Roman"/>
                <w:b/>
                <w:bCs/>
                <w:color w:val="auto"/>
              </w:rPr>
              <w:t>①</w:t>
            </w:r>
            <w:r>
              <w:rPr>
                <w:rFonts w:hAnsi="宋体" w:eastAsia="宋体" w:cs="Times New Roman"/>
                <w:b/>
                <w:bCs/>
                <w:color w:val="auto"/>
              </w:rPr>
              <w:fldChar w:fldCharType="end"/>
            </w:r>
            <w:r>
              <w:rPr>
                <w:rFonts w:hint="eastAsia" w:hAnsi="宋体" w:eastAsia="宋体" w:cs="Times New Roman"/>
                <w:b/>
                <w:bCs/>
                <w:color w:val="auto"/>
              </w:rPr>
              <w:t>门诊废水</w:t>
            </w:r>
          </w:p>
          <w:p>
            <w:pPr>
              <w:ind w:firstLine="480"/>
              <w:rPr>
                <w:rFonts w:eastAsia="宋体" w:cs="Times New Roman"/>
                <w:color w:val="auto"/>
              </w:rPr>
            </w:pPr>
            <w:r>
              <w:rPr>
                <w:rFonts w:hint="eastAsia" w:hAnsi="宋体" w:eastAsia="宋体" w:cs="Times New Roman"/>
                <w:color w:val="auto"/>
              </w:rPr>
              <w:t>根据建设单位提供资料显示，</w:t>
            </w:r>
            <w:r>
              <w:rPr>
                <w:rFonts w:hint="eastAsia" w:hAnsi="宋体" w:eastAsia="宋体" w:cs="Times New Roman"/>
                <w:color w:val="auto"/>
                <w:lang w:eastAsia="zh-CN"/>
              </w:rPr>
              <w:t>医</w:t>
            </w:r>
            <w:r>
              <w:rPr>
                <w:rFonts w:hint="eastAsia" w:hAnsi="宋体" w:eastAsia="宋体" w:cs="Times New Roman"/>
                <w:color w:val="auto"/>
              </w:rPr>
              <w:t>院平均接诊人数</w:t>
            </w:r>
            <w:r>
              <w:rPr>
                <w:rFonts w:hint="eastAsia" w:hAnsi="宋体" w:eastAsia="宋体" w:cs="Times New Roman"/>
                <w:color w:val="auto"/>
                <w:lang w:val="en-US" w:eastAsia="zh-CN"/>
              </w:rPr>
              <w:t>400</w:t>
            </w:r>
            <w:r>
              <w:rPr>
                <w:rFonts w:hint="eastAsia" w:hAnsi="宋体" w:eastAsia="宋体" w:cs="Times New Roman"/>
                <w:color w:val="auto"/>
              </w:rPr>
              <w:t>人次/天。</w:t>
            </w:r>
            <w:r>
              <w:rPr>
                <w:rFonts w:hAnsi="宋体" w:eastAsia="宋体" w:cs="Times New Roman"/>
                <w:iCs/>
                <w:color w:val="auto"/>
                <w:szCs w:val="24"/>
              </w:rPr>
              <w:t>根据《云南省地方用水定额》（</w:t>
            </w:r>
            <w:r>
              <w:rPr>
                <w:rFonts w:eastAsia="宋体" w:cs="Times New Roman"/>
                <w:iCs/>
                <w:color w:val="auto"/>
                <w:szCs w:val="24"/>
              </w:rPr>
              <w:t>DB53</w:t>
            </w:r>
            <w:r>
              <w:rPr>
                <w:rFonts w:hint="eastAsia" w:eastAsia="宋体" w:cs="Times New Roman"/>
                <w:iCs/>
                <w:color w:val="auto"/>
                <w:szCs w:val="24"/>
              </w:rPr>
              <w:t>/</w:t>
            </w:r>
            <w:r>
              <w:rPr>
                <w:rFonts w:eastAsia="宋体" w:cs="Times New Roman"/>
                <w:iCs/>
                <w:color w:val="auto"/>
                <w:szCs w:val="24"/>
              </w:rPr>
              <w:t>T 168─201</w:t>
            </w:r>
            <w:r>
              <w:rPr>
                <w:rFonts w:hint="eastAsia" w:eastAsia="宋体" w:cs="Times New Roman"/>
                <w:iCs/>
                <w:color w:val="auto"/>
                <w:szCs w:val="24"/>
              </w:rPr>
              <w:t>9</w:t>
            </w:r>
            <w:r>
              <w:rPr>
                <w:rFonts w:hAnsi="宋体" w:eastAsia="宋体" w:cs="Times New Roman"/>
                <w:iCs/>
                <w:color w:val="auto"/>
                <w:szCs w:val="24"/>
              </w:rPr>
              <w:t>），</w:t>
            </w:r>
            <w:r>
              <w:rPr>
                <w:rFonts w:hint="eastAsia" w:hAnsi="宋体" w:eastAsia="宋体" w:cs="Times New Roman"/>
                <w:iCs/>
                <w:color w:val="auto"/>
                <w:szCs w:val="24"/>
                <w:lang w:eastAsia="zh-CN"/>
              </w:rPr>
              <w:t>医院</w:t>
            </w:r>
            <w:r>
              <w:rPr>
                <w:rFonts w:hAnsi="宋体" w:eastAsia="宋体" w:cs="Times New Roman"/>
                <w:iCs/>
                <w:color w:val="auto"/>
                <w:szCs w:val="24"/>
              </w:rPr>
              <w:t>用水量按</w:t>
            </w:r>
            <w:r>
              <w:rPr>
                <w:rFonts w:hint="eastAsia" w:eastAsia="宋体" w:cs="Times New Roman"/>
                <w:iCs/>
                <w:color w:val="auto"/>
                <w:szCs w:val="24"/>
                <w:lang w:val="en-US" w:eastAsia="zh-CN"/>
              </w:rPr>
              <w:t>20</w:t>
            </w:r>
            <w:r>
              <w:rPr>
                <w:rFonts w:eastAsia="宋体" w:cs="Times New Roman"/>
                <w:iCs/>
                <w:color w:val="auto"/>
                <w:szCs w:val="24"/>
              </w:rPr>
              <w:t>L/</w:t>
            </w:r>
            <w:r>
              <w:rPr>
                <w:rFonts w:hAnsi="宋体" w:eastAsia="宋体" w:cs="Times New Roman"/>
                <w:iCs/>
                <w:color w:val="auto"/>
                <w:szCs w:val="24"/>
              </w:rPr>
              <w:t>（人</w:t>
            </w:r>
            <w:r>
              <w:rPr>
                <w:rFonts w:eastAsia="宋体" w:cs="Times New Roman"/>
                <w:iCs/>
                <w:color w:val="auto"/>
                <w:szCs w:val="24"/>
              </w:rPr>
              <w:t>·</w:t>
            </w:r>
            <w:r>
              <w:rPr>
                <w:rFonts w:hAnsi="宋体" w:eastAsia="宋体" w:cs="Times New Roman"/>
                <w:iCs/>
                <w:color w:val="auto"/>
                <w:szCs w:val="24"/>
              </w:rPr>
              <w:t>次）计</w:t>
            </w:r>
            <w:r>
              <w:rPr>
                <w:rFonts w:hint="eastAsia" w:hAnsi="宋体" w:eastAsia="宋体" w:cs="Times New Roman"/>
                <w:iCs/>
                <w:color w:val="auto"/>
                <w:szCs w:val="24"/>
              </w:rPr>
              <w:t>（含行政及医护人员、附属设施等综合用水）</w:t>
            </w:r>
            <w:r>
              <w:rPr>
                <w:rFonts w:hAnsi="宋体" w:eastAsia="宋体" w:cs="Times New Roman"/>
                <w:color w:val="auto"/>
              </w:rPr>
              <w:t>，则</w:t>
            </w:r>
            <w:r>
              <w:rPr>
                <w:rFonts w:hint="eastAsia" w:hAnsi="宋体" w:eastAsia="宋体" w:cs="Times New Roman"/>
                <w:color w:val="auto"/>
              </w:rPr>
              <w:t>门诊</w:t>
            </w:r>
            <w:r>
              <w:rPr>
                <w:rFonts w:hAnsi="宋体" w:eastAsia="宋体" w:cs="Times New Roman"/>
                <w:color w:val="auto"/>
              </w:rPr>
              <w:t>用水量为</w:t>
            </w:r>
            <w:r>
              <w:rPr>
                <w:rFonts w:hint="eastAsia" w:eastAsia="宋体" w:cs="Times New Roman"/>
                <w:color w:val="auto"/>
                <w:lang w:val="en-US" w:eastAsia="zh-CN"/>
              </w:rPr>
              <w:t>0.8</w:t>
            </w:r>
            <w:r>
              <w:rPr>
                <w:rFonts w:eastAsia="宋体" w:cs="Times New Roman"/>
                <w:color w:val="auto"/>
              </w:rPr>
              <w:t>m</w:t>
            </w:r>
            <w:r>
              <w:rPr>
                <w:rFonts w:eastAsia="宋体" w:cs="Times New Roman"/>
                <w:color w:val="auto"/>
                <w:vertAlign w:val="superscript"/>
              </w:rPr>
              <w:t>3</w:t>
            </w:r>
            <w:r>
              <w:rPr>
                <w:rFonts w:eastAsia="宋体" w:cs="Times New Roman"/>
                <w:color w:val="auto"/>
              </w:rPr>
              <w:t>/d</w:t>
            </w:r>
            <w:r>
              <w:rPr>
                <w:rFonts w:hAnsi="宋体" w:eastAsia="宋体" w:cs="Times New Roman"/>
                <w:color w:val="auto"/>
              </w:rPr>
              <w:t>，约</w:t>
            </w:r>
            <w:r>
              <w:rPr>
                <w:rFonts w:hint="eastAsia" w:eastAsia="宋体" w:cs="Times New Roman"/>
                <w:color w:val="auto"/>
                <w:lang w:val="en-US" w:eastAsia="zh-CN"/>
              </w:rPr>
              <w:t>292</w:t>
            </w:r>
            <w:r>
              <w:rPr>
                <w:rFonts w:eastAsia="宋体" w:cs="Times New Roman"/>
                <w:color w:val="auto"/>
              </w:rPr>
              <w:t>m</w:t>
            </w:r>
            <w:r>
              <w:rPr>
                <w:rFonts w:eastAsia="宋体" w:cs="Times New Roman"/>
                <w:color w:val="auto"/>
                <w:vertAlign w:val="superscript"/>
              </w:rPr>
              <w:t>3</w:t>
            </w:r>
            <w:r>
              <w:rPr>
                <w:rFonts w:eastAsia="宋体" w:cs="Times New Roman"/>
                <w:color w:val="auto"/>
              </w:rPr>
              <w:t>/a</w:t>
            </w:r>
            <w:r>
              <w:rPr>
                <w:rFonts w:hAnsi="宋体" w:eastAsia="宋体" w:cs="Times New Roman"/>
                <w:color w:val="auto"/>
              </w:rPr>
              <w:t>，</w:t>
            </w:r>
            <w:r>
              <w:rPr>
                <w:rFonts w:hAnsi="宋体" w:eastAsia="宋体" w:cs="Times New Roman"/>
                <w:color w:val="auto"/>
                <w:szCs w:val="24"/>
              </w:rPr>
              <w:t>污水产生系数按</w:t>
            </w:r>
            <w:r>
              <w:rPr>
                <w:rFonts w:eastAsia="宋体" w:cs="Times New Roman"/>
                <w:color w:val="auto"/>
                <w:szCs w:val="24"/>
              </w:rPr>
              <w:t>0.8</w:t>
            </w:r>
            <w:r>
              <w:rPr>
                <w:rFonts w:hAnsi="宋体" w:eastAsia="宋体" w:cs="Times New Roman"/>
                <w:color w:val="auto"/>
                <w:szCs w:val="24"/>
              </w:rPr>
              <w:t>计算，</w:t>
            </w:r>
            <w:r>
              <w:rPr>
                <w:rFonts w:hAnsi="宋体" w:eastAsia="宋体" w:cs="Times New Roman"/>
                <w:color w:val="auto"/>
              </w:rPr>
              <w:t>废水量为</w:t>
            </w:r>
            <w:r>
              <w:rPr>
                <w:rFonts w:hint="eastAsia" w:eastAsia="宋体" w:cs="Times New Roman"/>
                <w:color w:val="auto"/>
                <w:lang w:val="en-US" w:eastAsia="zh-CN"/>
              </w:rPr>
              <w:t>0.64</w:t>
            </w:r>
            <w:r>
              <w:rPr>
                <w:rFonts w:eastAsia="宋体" w:cs="Times New Roman"/>
                <w:color w:val="auto"/>
              </w:rPr>
              <w:t>m</w:t>
            </w:r>
            <w:r>
              <w:rPr>
                <w:rFonts w:eastAsia="宋体" w:cs="Times New Roman"/>
                <w:color w:val="auto"/>
                <w:vertAlign w:val="superscript"/>
              </w:rPr>
              <w:t>3</w:t>
            </w:r>
            <w:r>
              <w:rPr>
                <w:rFonts w:eastAsia="宋体" w:cs="Times New Roman"/>
                <w:color w:val="auto"/>
              </w:rPr>
              <w:t>/d</w:t>
            </w:r>
            <w:r>
              <w:rPr>
                <w:rFonts w:hAnsi="宋体" w:eastAsia="宋体" w:cs="Times New Roman"/>
                <w:color w:val="auto"/>
              </w:rPr>
              <w:t>，约</w:t>
            </w:r>
            <w:r>
              <w:rPr>
                <w:rFonts w:hint="eastAsia" w:eastAsia="宋体" w:cs="Times New Roman"/>
                <w:color w:val="auto"/>
                <w:lang w:val="en-US" w:eastAsia="zh-CN"/>
              </w:rPr>
              <w:t>233.6</w:t>
            </w:r>
            <w:r>
              <w:rPr>
                <w:rFonts w:eastAsia="宋体" w:cs="Times New Roman"/>
                <w:color w:val="auto"/>
              </w:rPr>
              <w:t>m</w:t>
            </w:r>
            <w:r>
              <w:rPr>
                <w:rFonts w:eastAsia="宋体" w:cs="Times New Roman"/>
                <w:color w:val="auto"/>
                <w:vertAlign w:val="superscript"/>
              </w:rPr>
              <w:t>3</w:t>
            </w:r>
            <w:r>
              <w:rPr>
                <w:rFonts w:eastAsia="宋体" w:cs="Times New Roman"/>
                <w:color w:val="auto"/>
              </w:rPr>
              <w:t>/a</w:t>
            </w:r>
            <w:r>
              <w:rPr>
                <w:rFonts w:hAnsi="宋体" w:eastAsia="宋体" w:cs="Times New Roman"/>
                <w:color w:val="auto"/>
                <w:szCs w:val="24"/>
              </w:rPr>
              <w:t>。</w:t>
            </w:r>
          </w:p>
          <w:p>
            <w:pPr>
              <w:ind w:firstLine="482"/>
              <w:rPr>
                <w:rFonts w:hAnsi="宋体" w:eastAsia="宋体" w:cs="Times New Roman"/>
                <w:b/>
                <w:bCs/>
                <w:color w:val="auto"/>
                <w:highlight w:val="none"/>
              </w:rPr>
            </w:pPr>
            <w:r>
              <w:rPr>
                <w:rFonts w:hint="eastAsia" w:hAnsi="宋体" w:eastAsia="宋体" w:cs="Times New Roman"/>
                <w:b/>
                <w:bCs/>
                <w:color w:val="auto"/>
                <w:highlight w:val="none"/>
                <w:lang w:eastAsia="zh-CN"/>
              </w:rPr>
              <w:t>②</w:t>
            </w:r>
            <w:r>
              <w:rPr>
                <w:rFonts w:hint="eastAsia" w:hAnsi="宋体" w:eastAsia="宋体" w:cs="Times New Roman"/>
                <w:b/>
                <w:bCs/>
                <w:color w:val="auto"/>
                <w:highlight w:val="none"/>
              </w:rPr>
              <w:t>住院废水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Ansi="宋体" w:eastAsia="宋体" w:cs="Times New Roman"/>
                <w:color w:val="auto"/>
              </w:rPr>
            </w:pPr>
            <w:r>
              <w:rPr>
                <w:rFonts w:hint="eastAsia" w:hAnsi="宋体" w:eastAsia="宋体" w:cs="Times New Roman"/>
                <w:color w:val="auto"/>
              </w:rPr>
              <w:t>项目共设置</w:t>
            </w:r>
            <w:r>
              <w:rPr>
                <w:rFonts w:hint="eastAsia" w:hAnsi="宋体" w:eastAsia="宋体" w:cs="Times New Roman"/>
                <w:color w:val="auto"/>
                <w:lang w:val="en-US" w:eastAsia="zh-CN"/>
              </w:rPr>
              <w:t>200</w:t>
            </w:r>
            <w:r>
              <w:rPr>
                <w:rFonts w:hint="eastAsia" w:hAnsi="宋体" w:eastAsia="宋体" w:cs="Times New Roman"/>
                <w:color w:val="auto"/>
              </w:rPr>
              <w:t>张床位，每个病房带独立卫生间和洗浴设施</w:t>
            </w:r>
            <w:r>
              <w:rPr>
                <w:rFonts w:hint="eastAsia" w:hAnsi="宋体" w:eastAsia="宋体" w:cs="Times New Roman"/>
                <w:color w:val="auto"/>
                <w:lang w:eastAsia="zh-CN"/>
              </w:rPr>
              <w:t>。住院病房用水包括病人及陪护人员的冲厕、盥洗、清洁用水；洗衣房被服清洁用水；医务人员用水。</w:t>
            </w:r>
            <w:r>
              <w:rPr>
                <w:rFonts w:hAnsi="宋体" w:eastAsia="宋体" w:cs="Times New Roman"/>
                <w:iCs/>
                <w:color w:val="auto"/>
                <w:szCs w:val="24"/>
              </w:rPr>
              <w:t>根据《云南省地方用水定额》（</w:t>
            </w:r>
            <w:r>
              <w:rPr>
                <w:rFonts w:eastAsia="宋体" w:cs="Times New Roman"/>
                <w:iCs/>
                <w:color w:val="auto"/>
                <w:szCs w:val="24"/>
              </w:rPr>
              <w:t>DB53</w:t>
            </w:r>
            <w:r>
              <w:rPr>
                <w:rFonts w:hint="eastAsia" w:eastAsia="宋体" w:cs="Times New Roman"/>
                <w:iCs/>
                <w:color w:val="auto"/>
                <w:szCs w:val="24"/>
              </w:rPr>
              <w:t>/</w:t>
            </w:r>
            <w:r>
              <w:rPr>
                <w:rFonts w:eastAsia="宋体" w:cs="Times New Roman"/>
                <w:iCs/>
                <w:color w:val="auto"/>
                <w:szCs w:val="24"/>
              </w:rPr>
              <w:t>T168─201</w:t>
            </w:r>
            <w:r>
              <w:rPr>
                <w:rFonts w:hint="eastAsia" w:eastAsia="宋体" w:cs="Times New Roman"/>
                <w:iCs/>
                <w:color w:val="auto"/>
                <w:szCs w:val="24"/>
              </w:rPr>
              <w:t>9</w:t>
            </w:r>
            <w:r>
              <w:rPr>
                <w:rFonts w:hAnsi="宋体" w:eastAsia="宋体" w:cs="Times New Roman"/>
                <w:iCs/>
                <w:color w:val="auto"/>
                <w:szCs w:val="24"/>
              </w:rPr>
              <w:t>）中的规定，</w:t>
            </w:r>
            <w:r>
              <w:rPr>
                <w:rFonts w:hint="eastAsia" w:hAnsi="宋体" w:eastAsia="宋体" w:cs="Times New Roman"/>
                <w:iCs/>
                <w:color w:val="auto"/>
                <w:szCs w:val="24"/>
              </w:rPr>
              <w:t>住院部病房内带洗浴</w:t>
            </w:r>
            <w:r>
              <w:rPr>
                <w:rFonts w:hAnsi="宋体" w:eastAsia="宋体" w:cs="Times New Roman"/>
                <w:iCs/>
                <w:color w:val="auto"/>
                <w:szCs w:val="24"/>
              </w:rPr>
              <w:t>用水量按</w:t>
            </w:r>
            <w:r>
              <w:rPr>
                <w:rFonts w:hint="eastAsia" w:eastAsia="宋体" w:cs="Times New Roman"/>
                <w:iCs/>
                <w:color w:val="auto"/>
                <w:szCs w:val="24"/>
                <w:lang w:val="en-US" w:eastAsia="zh-CN"/>
              </w:rPr>
              <w:t>300</w:t>
            </w:r>
            <w:r>
              <w:rPr>
                <w:rFonts w:eastAsia="宋体" w:cs="Times New Roman"/>
                <w:iCs/>
                <w:color w:val="auto"/>
                <w:szCs w:val="24"/>
              </w:rPr>
              <w:t>L/</w:t>
            </w:r>
            <w:r>
              <w:rPr>
                <w:rFonts w:hAnsi="宋体" w:eastAsia="宋体" w:cs="Times New Roman"/>
                <w:iCs/>
                <w:color w:val="auto"/>
                <w:szCs w:val="24"/>
              </w:rPr>
              <w:t>（</w:t>
            </w:r>
            <w:r>
              <w:rPr>
                <w:rFonts w:hint="eastAsia" w:hAnsi="宋体" w:eastAsia="宋体" w:cs="Times New Roman"/>
                <w:iCs/>
                <w:color w:val="auto"/>
                <w:szCs w:val="24"/>
              </w:rPr>
              <w:t>床</w:t>
            </w:r>
            <w:r>
              <w:rPr>
                <w:rFonts w:eastAsia="宋体" w:cs="Times New Roman"/>
                <w:iCs/>
                <w:color w:val="auto"/>
                <w:szCs w:val="24"/>
              </w:rPr>
              <w:t>·</w:t>
            </w:r>
            <w:r>
              <w:rPr>
                <w:rFonts w:hint="eastAsia" w:eastAsia="宋体" w:cs="Times New Roman"/>
                <w:iCs/>
                <w:color w:val="auto"/>
                <w:szCs w:val="24"/>
              </w:rPr>
              <w:t>d</w:t>
            </w:r>
            <w:r>
              <w:rPr>
                <w:rFonts w:hAnsi="宋体" w:eastAsia="宋体" w:cs="Times New Roman"/>
                <w:iCs/>
                <w:color w:val="auto"/>
                <w:szCs w:val="24"/>
              </w:rPr>
              <w:t>）计</w:t>
            </w:r>
            <w:r>
              <w:rPr>
                <w:rFonts w:hint="eastAsia" w:hAnsi="宋体" w:eastAsia="宋体" w:cs="Times New Roman"/>
                <w:iCs/>
                <w:color w:val="auto"/>
                <w:szCs w:val="24"/>
              </w:rPr>
              <w:t>（含行政及医护人员、附属设施等综合用水），</w:t>
            </w:r>
            <w:r>
              <w:rPr>
                <w:rFonts w:hAnsi="宋体" w:eastAsia="宋体" w:cs="Times New Roman"/>
                <w:color w:val="auto"/>
                <w:szCs w:val="24"/>
              </w:rPr>
              <w:t>则</w:t>
            </w:r>
            <w:r>
              <w:rPr>
                <w:rFonts w:hint="eastAsia" w:hAnsi="宋体" w:eastAsia="宋体" w:cs="Times New Roman"/>
                <w:color w:val="auto"/>
                <w:szCs w:val="24"/>
              </w:rPr>
              <w:t>病床</w:t>
            </w:r>
            <w:r>
              <w:rPr>
                <w:rFonts w:hAnsi="宋体" w:eastAsia="宋体" w:cs="Times New Roman"/>
                <w:color w:val="auto"/>
                <w:szCs w:val="24"/>
              </w:rPr>
              <w:t>用水量为</w:t>
            </w:r>
            <w:r>
              <w:rPr>
                <w:rFonts w:hint="eastAsia" w:eastAsia="宋体" w:cs="Times New Roman"/>
                <w:color w:val="auto"/>
                <w:szCs w:val="24"/>
                <w:lang w:val="en-US" w:eastAsia="zh-CN"/>
              </w:rPr>
              <w:t>60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/d</w:t>
            </w:r>
            <w:r>
              <w:rPr>
                <w:rFonts w:hAnsi="宋体" w:eastAsia="宋体" w:cs="Times New Roman"/>
                <w:color w:val="auto"/>
                <w:szCs w:val="24"/>
              </w:rPr>
              <w:t>，</w:t>
            </w:r>
            <w:r>
              <w:rPr>
                <w:rFonts w:hint="eastAsia" w:eastAsia="宋体" w:cs="Times New Roman"/>
                <w:color w:val="auto"/>
                <w:szCs w:val="24"/>
                <w:lang w:val="en-US" w:eastAsia="zh-CN"/>
              </w:rPr>
              <w:t>21900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/a</w:t>
            </w:r>
            <w:r>
              <w:rPr>
                <w:rFonts w:hint="eastAsia" w:eastAsia="宋体" w:cs="Times New Roman"/>
                <w:color w:val="auto"/>
                <w:szCs w:val="24"/>
              </w:rPr>
              <w:t>，</w:t>
            </w:r>
            <w:r>
              <w:rPr>
                <w:rFonts w:hAnsi="宋体" w:eastAsia="宋体" w:cs="Times New Roman"/>
                <w:color w:val="auto"/>
                <w:szCs w:val="24"/>
              </w:rPr>
              <w:t>污水产生系数按</w:t>
            </w:r>
            <w:r>
              <w:rPr>
                <w:rFonts w:eastAsia="宋体" w:cs="Times New Roman"/>
                <w:color w:val="auto"/>
                <w:szCs w:val="24"/>
              </w:rPr>
              <w:t>0.8</w:t>
            </w:r>
            <w:r>
              <w:rPr>
                <w:rFonts w:hAnsi="宋体" w:eastAsia="宋体" w:cs="Times New Roman"/>
                <w:color w:val="auto"/>
                <w:szCs w:val="24"/>
              </w:rPr>
              <w:t>计算，则</w:t>
            </w:r>
            <w:r>
              <w:rPr>
                <w:rFonts w:hint="eastAsia" w:hAnsi="宋体" w:eastAsia="宋体" w:cs="Times New Roman"/>
                <w:color w:val="auto"/>
                <w:szCs w:val="24"/>
              </w:rPr>
              <w:t>病床</w:t>
            </w:r>
            <w:r>
              <w:rPr>
                <w:rFonts w:hAnsi="宋体" w:eastAsia="宋体" w:cs="Times New Roman"/>
                <w:color w:val="auto"/>
                <w:szCs w:val="24"/>
              </w:rPr>
              <w:t>废水量为</w:t>
            </w:r>
            <w:r>
              <w:rPr>
                <w:rFonts w:hint="eastAsia" w:eastAsia="宋体" w:cs="Times New Roman"/>
                <w:color w:val="auto"/>
                <w:szCs w:val="24"/>
                <w:lang w:val="en-US" w:eastAsia="zh-CN"/>
              </w:rPr>
              <w:t>48</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/d</w:t>
            </w:r>
            <w:r>
              <w:rPr>
                <w:rFonts w:hAnsi="宋体" w:eastAsia="宋体" w:cs="Times New Roman"/>
                <w:color w:val="auto"/>
                <w:szCs w:val="24"/>
              </w:rPr>
              <w:t>，</w:t>
            </w:r>
            <w:r>
              <w:rPr>
                <w:rFonts w:hint="eastAsia" w:eastAsia="宋体" w:cs="Times New Roman"/>
                <w:color w:val="auto"/>
                <w:szCs w:val="24"/>
                <w:lang w:val="en-US" w:eastAsia="zh-CN"/>
              </w:rPr>
              <w:t>17520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/a</w:t>
            </w:r>
            <w:r>
              <w:rPr>
                <w:rFonts w:hint="eastAsia" w:hAnsi="宋体" w:eastAsia="宋体" w:cs="Times New Roman"/>
                <w:color w:val="auto"/>
                <w:szCs w:val="24"/>
              </w:rPr>
              <w:t>。</w:t>
            </w:r>
          </w:p>
          <w:p>
            <w:pPr>
              <w:ind w:firstLine="482"/>
              <w:rPr>
                <w:rFonts w:hAnsi="宋体" w:eastAsia="宋体" w:cs="Times New Roman"/>
                <w:b/>
                <w:bCs/>
                <w:color w:val="auto"/>
              </w:rPr>
            </w:pPr>
            <w:r>
              <w:rPr>
                <w:rFonts w:hint="eastAsia" w:hAnsi="宋体" w:eastAsia="宋体" w:cs="Times New Roman"/>
                <w:b/>
                <w:bCs/>
                <w:color w:val="auto"/>
                <w:lang w:eastAsia="zh-CN"/>
              </w:rPr>
              <w:t>③</w:t>
            </w:r>
            <w:r>
              <w:rPr>
                <w:rFonts w:hint="eastAsia" w:hAnsi="宋体" w:eastAsia="宋体" w:cs="Times New Roman"/>
                <w:b/>
                <w:bCs/>
                <w:color w:val="auto"/>
              </w:rPr>
              <w:t>检验废水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检验废水包括化验室、医学影像科等科室产生的废水。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color w:val="auto"/>
                <w:lang w:eastAsia="zh-CN"/>
              </w:rPr>
            </w:pPr>
            <w:r>
              <w:rPr>
                <w:rFonts w:hint="default" w:ascii="Times New Roman" w:hAnsi="Times New Roman" w:cs="Times New Roman"/>
                <w:color w:val="auto"/>
              </w:rPr>
              <w:t>本项目建成使用过程中，医院直接购进成套的试剂盒，试剂盒内配有分析和测定所需的全部试剂，使用时直接加入检验设备中，不需自制检验试剂。</w:t>
            </w:r>
            <w:r>
              <w:rPr>
                <w:rFonts w:hint="default" w:ascii="Times New Roman" w:hAnsi="Times New Roman" w:cs="Times New Roman"/>
                <w:color w:val="auto"/>
                <w:lang w:eastAsia="zh-CN"/>
              </w:rPr>
              <w:t>类比同类建设项目</w:t>
            </w:r>
            <w:r>
              <w:rPr>
                <w:rFonts w:hint="default" w:ascii="Times New Roman" w:hAnsi="Times New Roman" w:cs="Times New Roman"/>
                <w:color w:val="auto"/>
              </w:rPr>
              <w:t>，检验科用水量约0.1m</w:t>
            </w:r>
            <w:r>
              <w:rPr>
                <w:rFonts w:hint="default" w:ascii="Times New Roman" w:hAnsi="Times New Roman" w:cs="Times New Roman"/>
                <w:color w:val="auto"/>
                <w:vertAlign w:val="superscript"/>
              </w:rPr>
              <w:t>3</w:t>
            </w:r>
            <w:r>
              <w:rPr>
                <w:rFonts w:hint="default" w:ascii="Times New Roman" w:hAnsi="Times New Roman" w:cs="Times New Roman"/>
                <w:color w:val="auto"/>
              </w:rPr>
              <w:t>/d（36.5</w:t>
            </w:r>
            <w:r>
              <w:rPr>
                <w:rFonts w:hint="default" w:ascii="Times New Roman" w:hAnsi="Times New Roman" w:eastAsia="宋体" w:cs="Times New Roman"/>
                <w:color w:val="auto"/>
                <w:szCs w:val="24"/>
              </w:rPr>
              <w:t>m</w:t>
            </w:r>
            <w:r>
              <w:rPr>
                <w:rFonts w:hint="default" w:ascii="Times New Roman" w:hAnsi="Times New Roman" w:eastAsia="宋体" w:cs="Times New Roman"/>
                <w:color w:val="auto"/>
                <w:szCs w:val="24"/>
                <w:vertAlign w:val="superscript"/>
              </w:rPr>
              <w:t>3</w:t>
            </w:r>
            <w:r>
              <w:rPr>
                <w:rFonts w:hint="default" w:ascii="Times New Roman" w:hAnsi="Times New Roman" w:eastAsia="宋体" w:cs="Times New Roman"/>
                <w:color w:val="auto"/>
                <w:szCs w:val="24"/>
              </w:rPr>
              <w:t>/a</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污水产生系数按0.8计，则检验废液产生量为0.08m</w:t>
            </w:r>
            <w:r>
              <w:rPr>
                <w:rFonts w:hint="default" w:ascii="Times New Roman" w:hAnsi="Times New Roman" w:cs="Times New Roman"/>
                <w:color w:val="auto"/>
                <w:vertAlign w:val="superscript"/>
              </w:rPr>
              <w:t>3</w:t>
            </w:r>
            <w:r>
              <w:rPr>
                <w:rFonts w:hint="default" w:ascii="Times New Roman" w:hAnsi="Times New Roman" w:cs="Times New Roman"/>
                <w:color w:val="auto"/>
              </w:rPr>
              <w:t>/d（29.2</w:t>
            </w:r>
            <w:r>
              <w:rPr>
                <w:rFonts w:hint="default" w:ascii="Times New Roman" w:hAnsi="Times New Roman" w:eastAsia="宋体" w:cs="Times New Roman"/>
                <w:color w:val="auto"/>
                <w:szCs w:val="24"/>
              </w:rPr>
              <w:t>m</w:t>
            </w:r>
            <w:r>
              <w:rPr>
                <w:rFonts w:hint="default" w:ascii="Times New Roman" w:hAnsi="Times New Roman" w:eastAsia="宋体" w:cs="Times New Roman"/>
                <w:color w:val="auto"/>
                <w:szCs w:val="24"/>
                <w:vertAlign w:val="superscript"/>
              </w:rPr>
              <w:t>3</w:t>
            </w:r>
            <w:r>
              <w:rPr>
                <w:rFonts w:hint="default" w:ascii="Times New Roman" w:hAnsi="Times New Roman" w:eastAsia="宋体" w:cs="Times New Roman"/>
                <w:color w:val="auto"/>
                <w:szCs w:val="24"/>
              </w:rPr>
              <w:t>/a</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eastAsia" w:cs="Times New Roman"/>
                <w:color w:val="auto"/>
                <w:lang w:eastAsia="zh-CN"/>
              </w:rPr>
              <w:t>本项目不设置传染科，不涉及感染性毒性废物，故检验废水经单独收集消毒处理后，沿污水管网进入污水处理站处理。</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lang w:val="en-US" w:eastAsia="zh-CN"/>
              </w:rPr>
            </w:pPr>
            <w:r>
              <w:rPr>
                <w:rFonts w:hint="default" w:ascii="Times New Roman" w:hAnsi="Times New Roman" w:cs="Times New Roman"/>
                <w:color w:val="auto"/>
                <w:lang w:val="en-US" w:eastAsia="zh-CN"/>
              </w:rPr>
              <w:t>医学影像科采用DR成像技术，生成的图像为数字图像，可直接在电脑上显示出来，其照片的洗印采用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热感应数字化胶片</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，出片用“数字化激光成像仪”，无废显影液、定影液产生，不产生传统的洗像重金属废水。</w:t>
            </w:r>
          </w:p>
          <w:p>
            <w:pPr>
              <w:ind w:firstLine="480"/>
              <w:rPr>
                <w:rFonts w:hint="eastAsia" w:eastAsiaTheme="minorEastAsia"/>
                <w:b/>
                <w:bCs/>
                <w:color w:val="auto"/>
                <w:lang w:val="en-US" w:eastAsia="zh-CN"/>
              </w:rPr>
            </w:pPr>
            <w:r>
              <w:rPr>
                <w:rFonts w:hint="eastAsia" w:ascii="Calibri" w:hAnsi="Calibri" w:cs="Calibri"/>
                <w:b/>
                <w:bCs/>
                <w:color w:val="auto"/>
                <w:lang w:val="en-US" w:eastAsia="zh-CN"/>
              </w:rPr>
              <w:t>④绿化用水</w:t>
            </w:r>
          </w:p>
          <w:p>
            <w:pPr>
              <w:spacing w:line="360" w:lineRule="auto"/>
              <w:ind w:firstLine="480" w:firstLineChars="200"/>
              <w:rPr>
                <w:rFonts w:hint="default" w:eastAsiaTheme="minorEastAsia"/>
                <w:color w:val="auto"/>
                <w:sz w:val="24"/>
                <w:szCs w:val="28"/>
                <w:lang w:val="en-US" w:eastAsia="zh-CN"/>
              </w:rPr>
            </w:pPr>
            <w:r>
              <w:rPr>
                <w:color w:val="auto"/>
                <w:sz w:val="24"/>
                <w:szCs w:val="32"/>
              </w:rPr>
              <w:t>项目内绿化面积约为</w:t>
            </w:r>
            <w:r>
              <w:rPr>
                <w:rFonts w:hint="eastAsia"/>
                <w:color w:val="auto"/>
                <w:sz w:val="24"/>
                <w:szCs w:val="32"/>
                <w:lang w:val="en-US" w:eastAsia="zh-CN"/>
              </w:rPr>
              <w:t>40</w:t>
            </w:r>
            <w:r>
              <w:rPr>
                <w:rFonts w:hint="eastAsia"/>
                <w:color w:val="auto"/>
                <w:sz w:val="24"/>
                <w:szCs w:val="32"/>
              </w:rPr>
              <w:t>00</w:t>
            </w:r>
            <w:r>
              <w:rPr>
                <w:color w:val="auto"/>
                <w:sz w:val="24"/>
                <w:szCs w:val="32"/>
              </w:rPr>
              <w:t>m</w:t>
            </w:r>
            <w:r>
              <w:rPr>
                <w:color w:val="auto"/>
                <w:sz w:val="24"/>
                <w:szCs w:val="32"/>
                <w:vertAlign w:val="superscript"/>
              </w:rPr>
              <w:t>2</w:t>
            </w:r>
            <w:r>
              <w:rPr>
                <w:color w:val="auto"/>
                <w:sz w:val="24"/>
                <w:szCs w:val="32"/>
              </w:rPr>
              <w:t>，</w:t>
            </w:r>
            <w:r>
              <w:rPr>
                <w:rFonts w:hint="eastAsia"/>
                <w:color w:val="auto"/>
                <w:sz w:val="24"/>
                <w:szCs w:val="28"/>
              </w:rPr>
              <w:t>按照《云南省地方用水定额》（DB53/T168─2019），</w:t>
            </w:r>
            <w:r>
              <w:rPr>
                <w:color w:val="auto"/>
                <w:sz w:val="24"/>
                <w:szCs w:val="28"/>
              </w:rPr>
              <w:t>取</w:t>
            </w:r>
            <w:r>
              <w:rPr>
                <w:rFonts w:hint="eastAsia"/>
                <w:color w:val="auto"/>
                <w:sz w:val="24"/>
                <w:szCs w:val="28"/>
              </w:rPr>
              <w:t>绿化</w:t>
            </w:r>
            <w:r>
              <w:rPr>
                <w:color w:val="auto"/>
                <w:sz w:val="24"/>
                <w:szCs w:val="28"/>
              </w:rPr>
              <w:t>用水量为</w:t>
            </w:r>
            <w:r>
              <w:rPr>
                <w:rFonts w:hint="eastAsia"/>
                <w:color w:val="auto"/>
                <w:sz w:val="24"/>
                <w:szCs w:val="28"/>
              </w:rPr>
              <w:t>2</w:t>
            </w:r>
            <w:r>
              <w:rPr>
                <w:color w:val="auto"/>
                <w:sz w:val="24"/>
                <w:szCs w:val="28"/>
              </w:rPr>
              <w:t>L/</w:t>
            </w:r>
            <w:r>
              <w:rPr>
                <w:bCs/>
                <w:color w:val="auto"/>
                <w:sz w:val="24"/>
                <w:szCs w:val="28"/>
              </w:rPr>
              <w:t>m</w:t>
            </w:r>
            <w:r>
              <w:rPr>
                <w:bCs/>
                <w:color w:val="auto"/>
                <w:sz w:val="24"/>
                <w:szCs w:val="28"/>
                <w:vertAlign w:val="superscript"/>
              </w:rPr>
              <w:t>2</w:t>
            </w:r>
            <w:r>
              <w:rPr>
                <w:color w:val="auto"/>
                <w:sz w:val="24"/>
                <w:szCs w:val="28"/>
              </w:rPr>
              <w:t>·</w:t>
            </w:r>
            <w:r>
              <w:rPr>
                <w:rFonts w:hint="eastAsia"/>
                <w:color w:val="auto"/>
                <w:sz w:val="24"/>
                <w:szCs w:val="28"/>
              </w:rPr>
              <w:t>次</w:t>
            </w:r>
            <w:r>
              <w:rPr>
                <w:bCs/>
                <w:color w:val="auto"/>
                <w:sz w:val="24"/>
                <w:szCs w:val="28"/>
              </w:rPr>
              <w:t>，</w:t>
            </w:r>
            <w:r>
              <w:rPr>
                <w:rFonts w:hint="eastAsia"/>
                <w:color w:val="auto"/>
                <w:sz w:val="24"/>
                <w:szCs w:val="28"/>
              </w:rPr>
              <w:t>晴天每三天浇水</w:t>
            </w:r>
            <w:r>
              <w:rPr>
                <w:color w:val="auto"/>
                <w:sz w:val="24"/>
                <w:szCs w:val="28"/>
              </w:rPr>
              <w:t>一次，则</w:t>
            </w:r>
            <w:r>
              <w:rPr>
                <w:rFonts w:hint="eastAsia"/>
                <w:color w:val="auto"/>
                <w:sz w:val="24"/>
                <w:szCs w:val="28"/>
              </w:rPr>
              <w:t>晴天绿化</w:t>
            </w:r>
            <w:r>
              <w:rPr>
                <w:color w:val="auto"/>
                <w:sz w:val="24"/>
                <w:szCs w:val="28"/>
              </w:rPr>
              <w:t>用水量约为</w:t>
            </w:r>
            <w:r>
              <w:rPr>
                <w:rFonts w:hint="eastAsia"/>
                <w:color w:val="auto"/>
                <w:sz w:val="24"/>
                <w:szCs w:val="28"/>
                <w:lang w:val="en-US" w:eastAsia="zh-CN"/>
              </w:rPr>
              <w:t>8</w:t>
            </w:r>
            <w:r>
              <w:rPr>
                <w:color w:val="auto"/>
                <w:sz w:val="24"/>
                <w:szCs w:val="28"/>
              </w:rPr>
              <w:t>m</w:t>
            </w:r>
            <w:r>
              <w:rPr>
                <w:color w:val="auto"/>
                <w:sz w:val="24"/>
                <w:szCs w:val="28"/>
                <w:vertAlign w:val="superscript"/>
              </w:rPr>
              <w:t>3</w:t>
            </w:r>
            <w:r>
              <w:rPr>
                <w:color w:val="auto"/>
                <w:sz w:val="24"/>
                <w:szCs w:val="28"/>
              </w:rPr>
              <w:t>/</w:t>
            </w:r>
            <w:r>
              <w:rPr>
                <w:rFonts w:hint="eastAsia"/>
                <w:color w:val="auto"/>
                <w:sz w:val="24"/>
                <w:szCs w:val="28"/>
              </w:rPr>
              <w:t>次</w:t>
            </w:r>
            <w:r>
              <w:rPr>
                <w:rFonts w:hint="eastAsia"/>
                <w:color w:val="auto"/>
                <w:sz w:val="24"/>
                <w:szCs w:val="28"/>
                <w:lang w:eastAsia="zh-CN"/>
              </w:rPr>
              <w:t>，</w:t>
            </w:r>
            <w:r>
              <w:rPr>
                <w:rFonts w:hint="eastAsia"/>
                <w:color w:val="auto"/>
                <w:sz w:val="24"/>
                <w:szCs w:val="28"/>
                <w:lang w:val="en-US" w:eastAsia="zh-CN"/>
              </w:rPr>
              <w:t>2.67</w:t>
            </w:r>
            <w:r>
              <w:rPr>
                <w:color w:val="auto"/>
                <w:sz w:val="24"/>
                <w:szCs w:val="28"/>
              </w:rPr>
              <w:t>m</w:t>
            </w:r>
            <w:r>
              <w:rPr>
                <w:color w:val="auto"/>
                <w:sz w:val="24"/>
                <w:szCs w:val="28"/>
                <w:vertAlign w:val="superscript"/>
              </w:rPr>
              <w:t>3</w:t>
            </w:r>
            <w:r>
              <w:rPr>
                <w:rFonts w:hint="eastAsia"/>
                <w:color w:val="auto"/>
                <w:sz w:val="24"/>
                <w:szCs w:val="28"/>
                <w:vertAlign w:val="baseline"/>
                <w:lang w:val="en-US" w:eastAsia="zh-CN"/>
              </w:rPr>
              <w:t>/d</w:t>
            </w:r>
            <w:r>
              <w:rPr>
                <w:rFonts w:hint="eastAsia"/>
                <w:color w:val="auto"/>
                <w:sz w:val="24"/>
                <w:szCs w:val="28"/>
                <w:lang w:eastAsia="zh-CN"/>
              </w:rPr>
              <w:t>，</w:t>
            </w:r>
            <w:r>
              <w:rPr>
                <w:color w:val="auto"/>
                <w:sz w:val="24"/>
                <w:szCs w:val="28"/>
              </w:rPr>
              <w:t>雨</w:t>
            </w:r>
            <w:r>
              <w:rPr>
                <w:rFonts w:hint="eastAsia"/>
                <w:color w:val="auto"/>
                <w:sz w:val="24"/>
                <w:szCs w:val="28"/>
              </w:rPr>
              <w:t>天不浇水</w:t>
            </w:r>
            <w:r>
              <w:rPr>
                <w:color w:val="auto"/>
                <w:sz w:val="24"/>
                <w:szCs w:val="28"/>
              </w:rPr>
              <w:t>。</w:t>
            </w:r>
            <w:r>
              <w:rPr>
                <w:rFonts w:hint="eastAsia"/>
                <w:color w:val="auto"/>
                <w:sz w:val="24"/>
                <w:szCs w:val="28"/>
              </w:rPr>
              <w:t>项目所在区域</w:t>
            </w:r>
            <w:r>
              <w:rPr>
                <w:color w:val="auto"/>
                <w:sz w:val="24"/>
                <w:szCs w:val="28"/>
              </w:rPr>
              <w:t>地区雨</w:t>
            </w:r>
            <w:r>
              <w:rPr>
                <w:rFonts w:hint="eastAsia"/>
                <w:color w:val="auto"/>
                <w:sz w:val="24"/>
                <w:szCs w:val="28"/>
              </w:rPr>
              <w:t>天165</w:t>
            </w:r>
            <w:r>
              <w:rPr>
                <w:color w:val="auto"/>
                <w:sz w:val="24"/>
                <w:szCs w:val="28"/>
              </w:rPr>
              <w:t>d，</w:t>
            </w:r>
            <w:r>
              <w:rPr>
                <w:rFonts w:hint="eastAsia"/>
                <w:color w:val="auto"/>
                <w:sz w:val="24"/>
                <w:szCs w:val="28"/>
              </w:rPr>
              <w:t>晴天200</w:t>
            </w:r>
            <w:r>
              <w:rPr>
                <w:color w:val="auto"/>
                <w:sz w:val="24"/>
                <w:szCs w:val="28"/>
              </w:rPr>
              <w:t>d</w:t>
            </w:r>
            <w:r>
              <w:rPr>
                <w:rFonts w:hint="eastAsia"/>
                <w:color w:val="auto"/>
                <w:sz w:val="24"/>
                <w:szCs w:val="28"/>
              </w:rPr>
              <w:t>，则绿化用水量为</w:t>
            </w:r>
            <w:r>
              <w:rPr>
                <w:rFonts w:hint="eastAsia"/>
                <w:color w:val="auto"/>
                <w:sz w:val="24"/>
                <w:szCs w:val="28"/>
                <w:lang w:val="en-US" w:eastAsia="zh-CN"/>
              </w:rPr>
              <w:t>533.3</w:t>
            </w:r>
            <w:r>
              <w:rPr>
                <w:color w:val="auto"/>
                <w:sz w:val="24"/>
                <w:szCs w:val="28"/>
              </w:rPr>
              <w:t>m</w:t>
            </w:r>
            <w:r>
              <w:rPr>
                <w:color w:val="auto"/>
                <w:sz w:val="24"/>
                <w:szCs w:val="28"/>
                <w:vertAlign w:val="superscript"/>
              </w:rPr>
              <w:t>3</w:t>
            </w:r>
            <w:r>
              <w:rPr>
                <w:color w:val="auto"/>
                <w:sz w:val="24"/>
                <w:szCs w:val="28"/>
              </w:rPr>
              <w:t>/</w:t>
            </w:r>
            <w:r>
              <w:rPr>
                <w:rFonts w:hint="eastAsia"/>
                <w:color w:val="auto"/>
                <w:sz w:val="24"/>
                <w:szCs w:val="28"/>
              </w:rPr>
              <w:t>a。</w:t>
            </w:r>
            <w:r>
              <w:rPr>
                <w:rFonts w:hint="eastAsia"/>
                <w:color w:val="auto"/>
                <w:sz w:val="24"/>
                <w:szCs w:val="28"/>
                <w:lang w:val="en-US" w:eastAsia="zh-CN"/>
              </w:rPr>
              <w:t>绿化用水由植被吸收及自然蒸发，不产生废水。</w:t>
            </w:r>
          </w:p>
          <w:p>
            <w:pPr>
              <w:ind w:firstLine="480"/>
              <w:rPr>
                <w:color w:val="auto"/>
              </w:rPr>
            </w:pPr>
            <w:r>
              <w:rPr>
                <w:rFonts w:hint="eastAsia" w:hAnsi="宋体" w:eastAsia="宋体" w:cs="Times New Roman"/>
                <w:color w:val="auto"/>
              </w:rPr>
              <w:t>综上，本项目总用水</w:t>
            </w:r>
            <w:r>
              <w:rPr>
                <w:rFonts w:hint="eastAsia"/>
                <w:color w:val="auto"/>
              </w:rPr>
              <w:t>量约</w:t>
            </w:r>
            <w:r>
              <w:rPr>
                <w:rFonts w:hint="eastAsia"/>
                <w:color w:val="auto"/>
                <w:lang w:val="en-US" w:eastAsia="zh-CN"/>
              </w:rPr>
              <w:t>63.57</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22761.8</w:t>
            </w:r>
            <w:r>
              <w:rPr>
                <w:rFonts w:hint="eastAsia"/>
                <w:color w:val="auto"/>
              </w:rPr>
              <w:t>m</w:t>
            </w:r>
            <w:r>
              <w:rPr>
                <w:rFonts w:hint="eastAsia"/>
                <w:color w:val="auto"/>
                <w:vertAlign w:val="superscript"/>
              </w:rPr>
              <w:t>3</w:t>
            </w:r>
            <w:r>
              <w:rPr>
                <w:rFonts w:hint="eastAsia"/>
                <w:color w:val="auto"/>
              </w:rPr>
              <w:t>/a），排水量约</w:t>
            </w:r>
            <w:r>
              <w:rPr>
                <w:rFonts w:hint="eastAsia"/>
                <w:color w:val="auto"/>
                <w:lang w:eastAsia="zh-CN"/>
              </w:rPr>
              <w:t>48.72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17782.8</w:t>
            </w:r>
            <w:r>
              <w:rPr>
                <w:rFonts w:hint="eastAsia"/>
                <w:color w:val="auto"/>
              </w:rPr>
              <w:t>m</w:t>
            </w:r>
            <w:r>
              <w:rPr>
                <w:rFonts w:hint="eastAsia"/>
                <w:color w:val="auto"/>
                <w:vertAlign w:val="superscript"/>
              </w:rPr>
              <w:t>3</w:t>
            </w:r>
            <w:r>
              <w:rPr>
                <w:rFonts w:hint="eastAsia"/>
                <w:color w:val="auto"/>
              </w:rPr>
              <w:t>/a）。具体情况见下表4-</w:t>
            </w:r>
            <w:r>
              <w:rPr>
                <w:rFonts w:hint="eastAsia"/>
                <w:color w:val="auto"/>
                <w:lang w:val="en-US" w:eastAsia="zh-CN"/>
              </w:rPr>
              <w:t>6</w:t>
            </w:r>
            <w:r>
              <w:rPr>
                <w:rFonts w:hint="eastAsia"/>
                <w:color w:val="auto"/>
              </w:rPr>
              <w:t>。</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表4-</w:t>
            </w:r>
            <w:r>
              <w:rPr>
                <w:rFonts w:hint="eastAsia" w:cs="Times New Roman"/>
                <w:b/>
                <w:bCs/>
                <w:color w:val="auto"/>
                <w:kern w:val="2"/>
                <w:sz w:val="21"/>
                <w:szCs w:val="21"/>
                <w:lang w:val="en-US" w:eastAsia="zh-CN"/>
              </w:rPr>
              <w:t>6</w:t>
            </w:r>
            <w:r>
              <w:rPr>
                <w:rFonts w:hint="default" w:ascii="Times New Roman" w:hAnsi="Times New Roman" w:cs="Times New Roman"/>
                <w:b/>
                <w:bCs/>
                <w:color w:val="auto"/>
                <w:kern w:val="2"/>
                <w:sz w:val="21"/>
                <w:szCs w:val="21"/>
              </w:rPr>
              <w:t xml:space="preserve"> 项目用排水量汇总表</w:t>
            </w:r>
          </w:p>
          <w:tbl>
            <w:tblPr>
              <w:tblStyle w:val="37"/>
              <w:tblW w:w="8478" w:type="dxa"/>
              <w:jc w:val="center"/>
              <w:tblLayout w:type="fixed"/>
              <w:tblCellMar>
                <w:top w:w="0" w:type="dxa"/>
                <w:left w:w="0" w:type="dxa"/>
                <w:bottom w:w="0" w:type="dxa"/>
                <w:right w:w="0" w:type="dxa"/>
              </w:tblCellMar>
            </w:tblPr>
            <w:tblGrid>
              <w:gridCol w:w="1566"/>
              <w:gridCol w:w="1623"/>
              <w:gridCol w:w="1400"/>
              <w:gridCol w:w="1267"/>
              <w:gridCol w:w="1319"/>
              <w:gridCol w:w="1303"/>
            </w:tblGrid>
            <w:tr>
              <w:tblPrEx>
                <w:tblCellMar>
                  <w:top w:w="0" w:type="dxa"/>
                  <w:left w:w="0" w:type="dxa"/>
                  <w:bottom w:w="0" w:type="dxa"/>
                  <w:right w:w="0" w:type="dxa"/>
                </w:tblCellMar>
              </w:tblPrEx>
              <w:trPr>
                <w:trHeight w:val="285" w:hRule="atLeast"/>
                <w:jc w:val="center"/>
              </w:trPr>
              <w:tc>
                <w:tcPr>
                  <w:tcW w:w="1566"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用水部位</w:t>
                  </w:r>
                </w:p>
              </w:tc>
              <w:tc>
                <w:tcPr>
                  <w:tcW w:w="162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用水定额</w:t>
                  </w:r>
                </w:p>
              </w:tc>
              <w:tc>
                <w:tcPr>
                  <w:tcW w:w="2667" w:type="dxa"/>
                  <w:gridSpan w:val="2"/>
                  <w:tcBorders>
                    <w:top w:val="single" w:color="auto" w:sz="8" w:space="0"/>
                    <w:left w:val="nil"/>
                    <w:bottom w:val="single" w:color="auto"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用水量</w:t>
                  </w:r>
                </w:p>
              </w:tc>
              <w:tc>
                <w:tcPr>
                  <w:tcW w:w="2622" w:type="dxa"/>
                  <w:gridSpan w:val="2"/>
                  <w:tcBorders>
                    <w:top w:val="single" w:color="auto" w:sz="8" w:space="0"/>
                    <w:left w:val="nil"/>
                    <w:bottom w:val="single" w:color="auto"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排水量</w:t>
                  </w:r>
                </w:p>
              </w:tc>
            </w:tr>
            <w:tr>
              <w:tblPrEx>
                <w:tblCellMar>
                  <w:top w:w="0" w:type="dxa"/>
                  <w:left w:w="0" w:type="dxa"/>
                  <w:bottom w:w="0" w:type="dxa"/>
                  <w:right w:w="0" w:type="dxa"/>
                </w:tblCellMar>
              </w:tblPrEx>
              <w:trPr>
                <w:trHeight w:val="638" w:hRule="atLeast"/>
                <w:jc w:val="center"/>
              </w:trPr>
              <w:tc>
                <w:tcPr>
                  <w:tcW w:w="1566" w:type="dxa"/>
                  <w:vMerge w:val="continue"/>
                  <w:tcBorders>
                    <w:top w:val="single" w:color="auto" w:sz="8" w:space="0"/>
                    <w:left w:val="single" w:color="auto" w:sz="8" w:space="0"/>
                    <w:bottom w:val="single" w:color="000000" w:sz="8" w:space="0"/>
                    <w:right w:val="single" w:color="000000" w:sz="8" w:space="0"/>
                  </w:tcBorders>
                  <w:vAlign w:val="center"/>
                </w:tcPr>
                <w:p>
                  <w:pPr>
                    <w:pStyle w:val="146"/>
                    <w:spacing w:line="360" w:lineRule="auto"/>
                    <w:ind w:left="0" w:leftChars="0" w:right="0" w:rightChars="0" w:firstLine="0" w:firstLineChars="0"/>
                    <w:jc w:val="center"/>
                    <w:rPr>
                      <w:b/>
                      <w:bCs/>
                      <w:color w:val="auto"/>
                      <w:sz w:val="21"/>
                      <w:szCs w:val="21"/>
                    </w:rPr>
                  </w:pPr>
                </w:p>
              </w:tc>
              <w:tc>
                <w:tcPr>
                  <w:tcW w:w="1623" w:type="dxa"/>
                  <w:vMerge w:val="continue"/>
                  <w:tcBorders>
                    <w:top w:val="single" w:color="auto" w:sz="8" w:space="0"/>
                    <w:left w:val="single" w:color="auto" w:sz="8" w:space="0"/>
                    <w:bottom w:val="single" w:color="000000" w:sz="8" w:space="0"/>
                    <w:right w:val="single" w:color="auto" w:sz="8" w:space="0"/>
                  </w:tcBorders>
                  <w:vAlign w:val="center"/>
                </w:tcPr>
                <w:p>
                  <w:pPr>
                    <w:pStyle w:val="146"/>
                    <w:spacing w:line="360" w:lineRule="auto"/>
                    <w:ind w:left="0" w:leftChars="0" w:right="0" w:rightChars="0" w:firstLine="0" w:firstLineChars="0"/>
                    <w:jc w:val="center"/>
                    <w:rPr>
                      <w:b/>
                      <w:bCs/>
                      <w:color w:val="auto"/>
                      <w:sz w:val="21"/>
                      <w:szCs w:val="21"/>
                    </w:rPr>
                  </w:pPr>
                </w:p>
              </w:tc>
              <w:tc>
                <w:tcPr>
                  <w:tcW w:w="1400" w:type="dxa"/>
                  <w:tcBorders>
                    <w:top w:val="nil"/>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日（</w:t>
                  </w:r>
                  <w:r>
                    <w:rPr>
                      <w:b/>
                      <w:bCs/>
                      <w:color w:val="auto"/>
                      <w:sz w:val="21"/>
                      <w:szCs w:val="21"/>
                    </w:rPr>
                    <w:t>m</w:t>
                  </w:r>
                  <w:r>
                    <w:rPr>
                      <w:b/>
                      <w:bCs/>
                      <w:color w:val="auto"/>
                      <w:sz w:val="21"/>
                      <w:szCs w:val="21"/>
                      <w:vertAlign w:val="superscript"/>
                    </w:rPr>
                    <w:t>3</w:t>
                  </w:r>
                  <w:r>
                    <w:rPr>
                      <w:b/>
                      <w:bCs/>
                      <w:color w:val="auto"/>
                      <w:sz w:val="21"/>
                      <w:szCs w:val="21"/>
                    </w:rPr>
                    <w:t>/d</w:t>
                  </w:r>
                  <w:r>
                    <w:rPr>
                      <w:rFonts w:hint="eastAsia"/>
                      <w:b/>
                      <w:bCs/>
                      <w:color w:val="auto"/>
                      <w:sz w:val="21"/>
                      <w:szCs w:val="21"/>
                    </w:rPr>
                    <w:t>）</w:t>
                  </w:r>
                </w:p>
              </w:tc>
              <w:tc>
                <w:tcPr>
                  <w:tcW w:w="1267" w:type="dxa"/>
                  <w:tcBorders>
                    <w:top w:val="single" w:color="auto" w:sz="8" w:space="0"/>
                    <w:left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年（</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rPr>
                    <w:t>）</w:t>
                  </w:r>
                </w:p>
              </w:tc>
              <w:tc>
                <w:tcPr>
                  <w:tcW w:w="1319" w:type="dxa"/>
                  <w:tcBorders>
                    <w:top w:val="nil"/>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日（</w:t>
                  </w:r>
                  <w:r>
                    <w:rPr>
                      <w:b/>
                      <w:bCs/>
                      <w:color w:val="auto"/>
                      <w:sz w:val="21"/>
                      <w:szCs w:val="21"/>
                    </w:rPr>
                    <w:t>m</w:t>
                  </w:r>
                  <w:r>
                    <w:rPr>
                      <w:b/>
                      <w:bCs/>
                      <w:color w:val="auto"/>
                      <w:sz w:val="21"/>
                      <w:szCs w:val="21"/>
                      <w:vertAlign w:val="superscript"/>
                    </w:rPr>
                    <w:t>3</w:t>
                  </w:r>
                  <w:r>
                    <w:rPr>
                      <w:b/>
                      <w:bCs/>
                      <w:color w:val="auto"/>
                      <w:sz w:val="21"/>
                      <w:szCs w:val="21"/>
                    </w:rPr>
                    <w:t>/d</w:t>
                  </w:r>
                  <w:r>
                    <w:rPr>
                      <w:rFonts w:hint="eastAsia"/>
                      <w:b/>
                      <w:bCs/>
                      <w:color w:val="auto"/>
                      <w:sz w:val="21"/>
                      <w:szCs w:val="21"/>
                    </w:rPr>
                    <w:t>）</w:t>
                  </w:r>
                </w:p>
              </w:tc>
              <w:tc>
                <w:tcPr>
                  <w:tcW w:w="130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年（</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rPr>
                    <w:t>）</w:t>
                  </w:r>
                </w:p>
              </w:tc>
            </w:tr>
            <w:tr>
              <w:tblPrEx>
                <w:tblCellMar>
                  <w:top w:w="0" w:type="dxa"/>
                  <w:left w:w="0" w:type="dxa"/>
                  <w:bottom w:w="0" w:type="dxa"/>
                  <w:right w:w="0" w:type="dxa"/>
                </w:tblCellMar>
              </w:tblPrEx>
              <w:trPr>
                <w:trHeight w:val="399" w:hRule="atLeast"/>
                <w:jc w:val="center"/>
              </w:trPr>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门诊用水</w:t>
                  </w:r>
                </w:p>
              </w:tc>
              <w:tc>
                <w:tcPr>
                  <w:tcW w:w="1623" w:type="dxa"/>
                  <w:tcBorders>
                    <w:top w:val="nil"/>
                    <w:left w:val="single" w:color="auto" w:sz="4"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20</w:t>
                  </w:r>
                  <w:r>
                    <w:rPr>
                      <w:color w:val="auto"/>
                      <w:sz w:val="21"/>
                      <w:szCs w:val="21"/>
                    </w:rPr>
                    <w:t>L/</w:t>
                  </w:r>
                  <w:r>
                    <w:rPr>
                      <w:rFonts w:hint="eastAsia"/>
                      <w:color w:val="auto"/>
                      <w:sz w:val="21"/>
                      <w:szCs w:val="21"/>
                    </w:rPr>
                    <w:t>（人</w:t>
                  </w:r>
                  <w:r>
                    <w:rPr>
                      <w:color w:val="auto"/>
                      <w:sz w:val="21"/>
                      <w:szCs w:val="21"/>
                    </w:rPr>
                    <w:t>·</w:t>
                  </w:r>
                  <w:r>
                    <w:rPr>
                      <w:rFonts w:hint="eastAsia"/>
                      <w:color w:val="auto"/>
                      <w:sz w:val="21"/>
                      <w:szCs w:val="21"/>
                    </w:rPr>
                    <w:t>次）</w:t>
                  </w:r>
                </w:p>
              </w:tc>
              <w:tc>
                <w:tcPr>
                  <w:tcW w:w="1400"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0.8</w:t>
                  </w:r>
                </w:p>
              </w:tc>
              <w:tc>
                <w:tcPr>
                  <w:tcW w:w="1267"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rPr>
                  </w:pPr>
                  <w:r>
                    <w:rPr>
                      <w:rFonts w:hint="eastAsia"/>
                      <w:color w:val="auto"/>
                      <w:sz w:val="21"/>
                      <w:szCs w:val="21"/>
                      <w:lang w:val="en-US" w:eastAsia="zh-CN"/>
                    </w:rPr>
                    <w:t>292</w:t>
                  </w:r>
                </w:p>
              </w:tc>
              <w:tc>
                <w:tcPr>
                  <w:tcW w:w="1319"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0.64</w:t>
                  </w:r>
                </w:p>
              </w:tc>
              <w:tc>
                <w:tcPr>
                  <w:tcW w:w="1303"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233.6</w:t>
                  </w:r>
                </w:p>
              </w:tc>
            </w:tr>
            <w:tr>
              <w:tblPrEx>
                <w:tblCellMar>
                  <w:top w:w="0" w:type="dxa"/>
                  <w:left w:w="0" w:type="dxa"/>
                  <w:bottom w:w="0" w:type="dxa"/>
                  <w:right w:w="0" w:type="dxa"/>
                </w:tblCellMar>
              </w:tblPrEx>
              <w:trPr>
                <w:trHeight w:val="316" w:hRule="atLeast"/>
                <w:jc w:val="center"/>
              </w:trPr>
              <w:tc>
                <w:tcPr>
                  <w:tcW w:w="1566" w:type="dxa"/>
                  <w:tcBorders>
                    <w:top w:val="single" w:color="auto" w:sz="4"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住院</w:t>
                  </w:r>
                  <w:r>
                    <w:rPr>
                      <w:rFonts w:hint="eastAsia"/>
                      <w:color w:val="auto"/>
                      <w:sz w:val="21"/>
                      <w:szCs w:val="21"/>
                    </w:rPr>
                    <w:t>用水</w:t>
                  </w:r>
                </w:p>
              </w:tc>
              <w:tc>
                <w:tcPr>
                  <w:tcW w:w="162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300</w:t>
                  </w:r>
                  <w:r>
                    <w:rPr>
                      <w:color w:val="auto"/>
                      <w:sz w:val="21"/>
                      <w:szCs w:val="21"/>
                    </w:rPr>
                    <w:t>L/</w:t>
                  </w:r>
                  <w:r>
                    <w:rPr>
                      <w:rFonts w:hint="eastAsia"/>
                      <w:color w:val="auto"/>
                      <w:sz w:val="21"/>
                      <w:szCs w:val="21"/>
                    </w:rPr>
                    <w:t>（床</w:t>
                  </w:r>
                  <w:r>
                    <w:rPr>
                      <w:color w:val="auto"/>
                      <w:sz w:val="21"/>
                      <w:szCs w:val="21"/>
                    </w:rPr>
                    <w:t>·d</w:t>
                  </w:r>
                  <w:r>
                    <w:rPr>
                      <w:rFonts w:hint="eastAsia"/>
                      <w:color w:val="auto"/>
                      <w:sz w:val="21"/>
                      <w:szCs w:val="21"/>
                    </w:rPr>
                    <w:t>）</w:t>
                  </w:r>
                </w:p>
              </w:tc>
              <w:tc>
                <w:tcPr>
                  <w:tcW w:w="1400"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60</w:t>
                  </w:r>
                </w:p>
              </w:tc>
              <w:tc>
                <w:tcPr>
                  <w:tcW w:w="1267"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21900</w:t>
                  </w:r>
                </w:p>
              </w:tc>
              <w:tc>
                <w:tcPr>
                  <w:tcW w:w="1319"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48</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17520</w:t>
                  </w:r>
                </w:p>
              </w:tc>
            </w:tr>
            <w:tr>
              <w:tblPrEx>
                <w:tblCellMar>
                  <w:top w:w="0" w:type="dxa"/>
                  <w:left w:w="0" w:type="dxa"/>
                  <w:bottom w:w="0" w:type="dxa"/>
                  <w:right w:w="0" w:type="dxa"/>
                </w:tblCellMar>
              </w:tblPrEx>
              <w:trPr>
                <w:trHeight w:val="316" w:hRule="atLeast"/>
                <w:jc w:val="center"/>
              </w:trPr>
              <w:tc>
                <w:tcPr>
                  <w:tcW w:w="1566"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检验用水</w:t>
                  </w:r>
                </w:p>
              </w:tc>
              <w:tc>
                <w:tcPr>
                  <w:tcW w:w="162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0.1</w:t>
                  </w:r>
                  <w:r>
                    <w:rPr>
                      <w:color w:val="auto"/>
                      <w:sz w:val="21"/>
                      <w:szCs w:val="21"/>
                    </w:rPr>
                    <w:t>m</w:t>
                  </w:r>
                  <w:r>
                    <w:rPr>
                      <w:color w:val="auto"/>
                      <w:sz w:val="21"/>
                      <w:szCs w:val="21"/>
                      <w:vertAlign w:val="superscript"/>
                    </w:rPr>
                    <w:t>3</w:t>
                  </w:r>
                  <w:r>
                    <w:rPr>
                      <w:color w:val="auto"/>
                      <w:sz w:val="21"/>
                      <w:szCs w:val="21"/>
                    </w:rPr>
                    <w:t>/d</w:t>
                  </w:r>
                </w:p>
              </w:tc>
              <w:tc>
                <w:tcPr>
                  <w:tcW w:w="1400"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0.1</w:t>
                  </w:r>
                </w:p>
              </w:tc>
              <w:tc>
                <w:tcPr>
                  <w:tcW w:w="1267"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36.5</w:t>
                  </w:r>
                </w:p>
              </w:tc>
              <w:tc>
                <w:tcPr>
                  <w:tcW w:w="1319"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0.08</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29.2</w:t>
                  </w:r>
                </w:p>
              </w:tc>
            </w:tr>
            <w:tr>
              <w:tblPrEx>
                <w:tblCellMar>
                  <w:top w:w="0" w:type="dxa"/>
                  <w:left w:w="0" w:type="dxa"/>
                  <w:bottom w:w="0" w:type="dxa"/>
                  <w:right w:w="0" w:type="dxa"/>
                </w:tblCellMar>
              </w:tblPrEx>
              <w:trPr>
                <w:trHeight w:val="434" w:hRule="atLeast"/>
                <w:jc w:val="center"/>
              </w:trPr>
              <w:tc>
                <w:tcPr>
                  <w:tcW w:w="1566" w:type="dxa"/>
                  <w:tcBorders>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绿化用水</w:t>
                  </w:r>
                </w:p>
              </w:tc>
              <w:tc>
                <w:tcPr>
                  <w:tcW w:w="1623"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2</w:t>
                  </w:r>
                  <w:r>
                    <w:rPr>
                      <w:color w:val="auto"/>
                      <w:sz w:val="21"/>
                      <w:szCs w:val="21"/>
                    </w:rPr>
                    <w:t>L/</w:t>
                  </w:r>
                  <w:r>
                    <w:rPr>
                      <w:bCs/>
                      <w:color w:val="auto"/>
                      <w:sz w:val="21"/>
                      <w:szCs w:val="21"/>
                    </w:rPr>
                    <w:t>m</w:t>
                  </w:r>
                  <w:r>
                    <w:rPr>
                      <w:bCs/>
                      <w:color w:val="auto"/>
                      <w:sz w:val="21"/>
                      <w:szCs w:val="21"/>
                      <w:vertAlign w:val="superscript"/>
                    </w:rPr>
                    <w:t>2</w:t>
                  </w:r>
                  <w:r>
                    <w:rPr>
                      <w:color w:val="auto"/>
                      <w:sz w:val="21"/>
                      <w:szCs w:val="21"/>
                    </w:rPr>
                    <w:t>·</w:t>
                  </w:r>
                  <w:r>
                    <w:rPr>
                      <w:rFonts w:hint="eastAsia"/>
                      <w:color w:val="auto"/>
                      <w:sz w:val="21"/>
                      <w:szCs w:val="21"/>
                    </w:rPr>
                    <w:t>次</w:t>
                  </w:r>
                </w:p>
              </w:tc>
              <w:tc>
                <w:tcPr>
                  <w:tcW w:w="1400"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2.67</w:t>
                  </w:r>
                </w:p>
              </w:tc>
              <w:tc>
                <w:tcPr>
                  <w:tcW w:w="1267"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533.3</w:t>
                  </w:r>
                </w:p>
              </w:tc>
              <w:tc>
                <w:tcPr>
                  <w:tcW w:w="1319"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r>
            <w:tr>
              <w:tblPrEx>
                <w:tblCellMar>
                  <w:top w:w="0" w:type="dxa"/>
                  <w:left w:w="0" w:type="dxa"/>
                  <w:bottom w:w="0" w:type="dxa"/>
                  <w:right w:w="0" w:type="dxa"/>
                </w:tblCellMar>
              </w:tblPrEx>
              <w:trPr>
                <w:trHeight w:val="285" w:hRule="atLeast"/>
                <w:jc w:val="center"/>
              </w:trPr>
              <w:tc>
                <w:tcPr>
                  <w:tcW w:w="3189" w:type="dxa"/>
                  <w:gridSpan w:val="2"/>
                  <w:tcBorders>
                    <w:top w:val="nil"/>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合计</w:t>
                  </w:r>
                </w:p>
              </w:tc>
              <w:tc>
                <w:tcPr>
                  <w:tcW w:w="1400"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rPr>
                  </w:pPr>
                  <w:r>
                    <w:rPr>
                      <w:rFonts w:hint="eastAsia"/>
                      <w:color w:val="auto"/>
                      <w:sz w:val="21"/>
                      <w:szCs w:val="21"/>
                      <w:lang w:val="en-US" w:eastAsia="zh-CN"/>
                    </w:rPr>
                    <w:t>63.57</w:t>
                  </w:r>
                </w:p>
              </w:tc>
              <w:tc>
                <w:tcPr>
                  <w:tcW w:w="1267"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22761.8</w:t>
                  </w:r>
                </w:p>
              </w:tc>
              <w:tc>
                <w:tcPr>
                  <w:tcW w:w="1319"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48.72</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17782.8</w:t>
                  </w:r>
                </w:p>
              </w:tc>
            </w:tr>
          </w:tbl>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eastAsia="宋体" w:cs="Times New Roman"/>
                <w:bCs/>
                <w:color w:val="auto"/>
                <w:szCs w:val="24"/>
              </w:rPr>
            </w:pPr>
            <w:r>
              <w:rPr>
                <w:rFonts w:eastAsia="宋体" w:cs="Times New Roman"/>
                <w:bCs/>
                <w:color w:val="auto"/>
                <w:szCs w:val="24"/>
              </w:rPr>
              <mc:AlternateContent>
                <mc:Choice Requires="wpc">
                  <w:drawing>
                    <wp:inline distT="0" distB="0" distL="114300" distR="114300">
                      <wp:extent cx="5332730" cy="3296285"/>
                      <wp:effectExtent l="0" t="0" r="0" b="0"/>
                      <wp:docPr id="50"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文本框 78"/>
                              <wps:cNvSpPr txBox="1"/>
                              <wps:spPr>
                                <a:xfrm>
                                  <a:off x="3146359" y="1440925"/>
                                  <a:ext cx="501593"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wps:txbx>
                              <wps:bodyPr upright="1"/>
                            </wps:wsp>
                            <wps:wsp>
                              <wps:cNvPr id="14" name="文本框 81"/>
                              <wps:cNvSpPr txBox="1"/>
                              <wps:spPr>
                                <a:xfrm>
                                  <a:off x="2489567" y="1929767"/>
                                  <a:ext cx="503193" cy="241621"/>
                                </a:xfrm>
                                <a:prstGeom prst="rect">
                                  <a:avLst/>
                                </a:prstGeom>
                                <a:solidFill>
                                  <a:srgbClr val="FFFFFF"/>
                                </a:solidFill>
                                <a:ln>
                                  <a:noFill/>
                                </a:ln>
                              </wps:spPr>
                              <wps:txbx>
                                <w:txbxContent>
                                  <w:p>
                                    <w:pPr>
                                      <w:snapToGrid w:val="0"/>
                                      <w:spacing w:line="240" w:lineRule="atLeast"/>
                                      <w:ind w:firstLine="0" w:firstLineChars="0"/>
                                      <w:jc w:val="both"/>
                                      <w:rPr>
                                        <w:rFonts w:hint="default"/>
                                        <w:sz w:val="21"/>
                                        <w:szCs w:val="21"/>
                                        <w:lang w:val="en-US" w:eastAsia="zh-CN"/>
                                      </w:rPr>
                                    </w:pPr>
                                    <w:r>
                                      <w:rPr>
                                        <w:rFonts w:hint="eastAsia"/>
                                        <w:sz w:val="21"/>
                                        <w:szCs w:val="21"/>
                                        <w:lang w:val="en-US" w:eastAsia="zh-CN"/>
                                      </w:rPr>
                                      <w:t>48</w:t>
                                    </w:r>
                                  </w:p>
                                </w:txbxContent>
                              </wps:txbx>
                              <wps:bodyPr upright="1"/>
                            </wps:wsp>
                            <wps:wsp>
                              <wps:cNvPr id="15" name="文本框 86"/>
                              <wps:cNvSpPr txBox="1"/>
                              <wps:spPr>
                                <a:xfrm>
                                  <a:off x="903188" y="2541820"/>
                                  <a:ext cx="443994" cy="240821"/>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2.67</w:t>
                                    </w:r>
                                  </w:p>
                                </w:txbxContent>
                              </wps:txbx>
                              <wps:bodyPr upright="1"/>
                            </wps:wsp>
                            <wps:wsp>
                              <wps:cNvPr id="16" name="文本框 91"/>
                              <wps:cNvSpPr txBox="1"/>
                              <wps:spPr>
                                <a:xfrm>
                                  <a:off x="1619179" y="859274"/>
                                  <a:ext cx="445594" cy="2456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16</w:t>
                                    </w:r>
                                  </w:p>
                                </w:txbxContent>
                              </wps:txbx>
                              <wps:bodyPr upright="1"/>
                            </wps:wsp>
                            <wps:wsp>
                              <wps:cNvPr id="17" name="文本框 93"/>
                              <wps:cNvSpPr txBox="1"/>
                              <wps:spPr>
                                <a:xfrm>
                                  <a:off x="991987" y="1931367"/>
                                  <a:ext cx="444794"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60</w:t>
                                    </w:r>
                                  </w:p>
                                </w:txbxContent>
                              </wps:txbx>
                              <wps:bodyPr upright="1"/>
                            </wps:wsp>
                            <wps:wsp>
                              <wps:cNvPr id="18" name="文本框 94"/>
                              <wps:cNvSpPr txBox="1"/>
                              <wps:spPr>
                                <a:xfrm>
                                  <a:off x="2413568" y="1104896"/>
                                  <a:ext cx="442394"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64</w:t>
                                    </w:r>
                                  </w:p>
                                </w:txbxContent>
                              </wps:txbx>
                              <wps:bodyPr upright="1"/>
                            </wps:wsp>
                            <wps:wsp>
                              <wps:cNvPr id="19" name="文本框 95"/>
                              <wps:cNvSpPr txBox="1"/>
                              <wps:spPr>
                                <a:xfrm>
                                  <a:off x="2650490" y="304800"/>
                                  <a:ext cx="443865" cy="242570"/>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0.08</w:t>
                                    </w:r>
                                  </w:p>
                                </w:txbxContent>
                              </wps:txbx>
                              <wps:bodyPr upright="1"/>
                            </wps:wsp>
                            <wps:wsp>
                              <wps:cNvPr id="20" name="文本框 96"/>
                              <wps:cNvSpPr txBox="1"/>
                              <wps:spPr>
                                <a:xfrm>
                                  <a:off x="573592" y="404835"/>
                                  <a:ext cx="495993" cy="2440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0.1</w:t>
                                    </w:r>
                                  </w:p>
                                </w:txbxContent>
                              </wps:txbx>
                              <wps:bodyPr upright="1"/>
                            </wps:wsp>
                            <wps:wsp>
                              <wps:cNvPr id="21" name="文本框 97"/>
                              <wps:cNvSpPr txBox="1"/>
                              <wps:spPr>
                                <a:xfrm>
                                  <a:off x="1141585" y="572049"/>
                                  <a:ext cx="8327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hint="eastAsia" w:cs="Times New Roman" w:eastAsiaTheme="minorEastAsia"/>
                                        <w:sz w:val="18"/>
                                        <w:szCs w:val="18"/>
                                        <w:lang w:val="en-US" w:eastAsia="zh-CN"/>
                                      </w:rPr>
                                    </w:pPr>
                                    <w:r>
                                      <w:rPr>
                                        <w:rFonts w:hint="eastAsia" w:cs="Times New Roman"/>
                                        <w:sz w:val="18"/>
                                        <w:szCs w:val="18"/>
                                        <w:lang w:val="en-US" w:eastAsia="zh-CN"/>
                                      </w:rPr>
                                      <w:t>检验废液</w:t>
                                    </w:r>
                                  </w:p>
                                </w:txbxContent>
                              </wps:txbx>
                              <wps:bodyPr upright="1"/>
                            </wps:wsp>
                            <wps:wsp>
                              <wps:cNvPr id="22" name="文本框 101"/>
                              <wps:cNvSpPr txBox="1"/>
                              <wps:spPr>
                                <a:xfrm>
                                  <a:off x="1568779" y="2050577"/>
                                  <a:ext cx="8351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住院用水</w:t>
                                    </w:r>
                                  </w:p>
                                </w:txbxContent>
                              </wps:txbx>
                              <wps:bodyPr upright="1"/>
                            </wps:wsp>
                            <wps:wsp>
                              <wps:cNvPr id="23" name="自选图形 106"/>
                              <wps:cNvCnPr/>
                              <wps:spPr>
                                <a:xfrm>
                                  <a:off x="903188" y="2171388"/>
                                  <a:ext cx="665591" cy="800"/>
                                </a:xfrm>
                                <a:prstGeom prst="straightConnector1">
                                  <a:avLst/>
                                </a:prstGeom>
                                <a:ln w="9525" cap="flat" cmpd="sng">
                                  <a:solidFill>
                                    <a:srgbClr val="000000"/>
                                  </a:solidFill>
                                  <a:prstDash val="solid"/>
                                  <a:headEnd type="none" w="med" len="med"/>
                                  <a:tailEnd type="triangle" w="med" len="med"/>
                                </a:ln>
                              </wps:spPr>
                              <wps:bodyPr/>
                            </wps:wsp>
                            <wps:wsp>
                              <wps:cNvPr id="24" name="自选图形 109"/>
                              <wps:cNvCnPr/>
                              <wps:spPr>
                                <a:xfrm flipV="1">
                                  <a:off x="903188" y="1345716"/>
                                  <a:ext cx="443994" cy="800"/>
                                </a:xfrm>
                                <a:prstGeom prst="straightConnector1">
                                  <a:avLst/>
                                </a:prstGeom>
                                <a:ln w="9525" cap="flat" cmpd="sng">
                                  <a:solidFill>
                                    <a:srgbClr val="000000"/>
                                  </a:solidFill>
                                  <a:prstDash val="solid"/>
                                  <a:headEnd type="none" w="med" len="med"/>
                                  <a:tailEnd type="triangle" w="med" len="med"/>
                                </a:ln>
                              </wps:spPr>
                              <wps:bodyPr/>
                            </wps:wsp>
                            <wps:wsp>
                              <wps:cNvPr id="26" name="文本框 111"/>
                              <wps:cNvSpPr txBox="1"/>
                              <wps:spPr>
                                <a:xfrm>
                                  <a:off x="3663952" y="1603339"/>
                                  <a:ext cx="8551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化粪池</w:t>
                                    </w:r>
                                  </w:p>
                                </w:txbxContent>
                              </wps:txbx>
                              <wps:bodyPr upright="1"/>
                            </wps:wsp>
                            <wps:wsp>
                              <wps:cNvPr id="27" name="文本框 112"/>
                              <wps:cNvSpPr txBox="1"/>
                              <wps:spPr>
                                <a:xfrm>
                                  <a:off x="3669552" y="2258595"/>
                                  <a:ext cx="856789" cy="244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污水处理站</w:t>
                                    </w:r>
                                  </w:p>
                                </w:txbxContent>
                              </wps:txbx>
                              <wps:bodyPr upright="1"/>
                            </wps:wsp>
                            <wps:wsp>
                              <wps:cNvPr id="29" name="自选图形 118"/>
                              <wps:cNvCnPr/>
                              <wps:spPr>
                                <a:xfrm flipH="1">
                                  <a:off x="4105546" y="1859361"/>
                                  <a:ext cx="8000" cy="386433"/>
                                </a:xfrm>
                                <a:prstGeom prst="straightConnector1">
                                  <a:avLst/>
                                </a:prstGeom>
                                <a:ln w="9525" cap="flat" cmpd="sng">
                                  <a:solidFill>
                                    <a:srgbClr val="000000"/>
                                  </a:solidFill>
                                  <a:prstDash val="solid"/>
                                  <a:headEnd type="none" w="med" len="med"/>
                                  <a:tailEnd type="triangle" w="med" len="med"/>
                                </a:ln>
                              </wps:spPr>
                              <wps:bodyPr/>
                            </wps:wsp>
                            <wps:wsp>
                              <wps:cNvPr id="30" name="文本框 120"/>
                              <wps:cNvSpPr txBox="1"/>
                              <wps:spPr>
                                <a:xfrm>
                                  <a:off x="4306343" y="1944968"/>
                                  <a:ext cx="543993"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wps:txbx>
                              <wps:bodyPr upright="1"/>
                            </wps:wsp>
                            <wps:wsp>
                              <wps:cNvPr id="31" name="文本框 121"/>
                              <wps:cNvSpPr txBox="1"/>
                              <wps:spPr>
                                <a:xfrm>
                                  <a:off x="1568779" y="159214"/>
                                  <a:ext cx="495993" cy="2456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02</w:t>
                                    </w:r>
                                  </w:p>
                                </w:txbxContent>
                              </wps:txbx>
                              <wps:bodyPr upright="1"/>
                            </wps:wsp>
                            <wps:wsp>
                              <wps:cNvPr id="32" name="文本框 123"/>
                              <wps:cNvSpPr txBox="1"/>
                              <wps:spPr>
                                <a:xfrm>
                                  <a:off x="972787" y="1050491"/>
                                  <a:ext cx="403195" cy="244021"/>
                                </a:xfrm>
                                <a:prstGeom prst="rect">
                                  <a:avLst/>
                                </a:prstGeom>
                                <a:solidFill>
                                  <a:srgbClr val="FFFFFF"/>
                                </a:solidFill>
                                <a:ln>
                                  <a:noFill/>
                                </a:ln>
                              </wps:spPr>
                              <wps:txbx>
                                <w:txbxContent>
                                  <w:p>
                                    <w:pPr>
                                      <w:snapToGrid w:val="0"/>
                                      <w:spacing w:line="240" w:lineRule="atLeast"/>
                                      <w:ind w:firstLine="0" w:firstLineChars="0"/>
                                      <w:jc w:val="center"/>
                                      <w:rPr>
                                        <w:rFonts w:hint="eastAsia"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8</w:t>
                                    </w:r>
                                  </w:p>
                                </w:txbxContent>
                              </wps:txbx>
                              <wps:bodyPr lIns="0" tIns="0" rIns="0" bIns="0" anchor="ctr" upright="1"/>
                            </wps:wsp>
                            <wps:wsp>
                              <wps:cNvPr id="33" name="自选图形 124"/>
                              <wps:cNvCnPr/>
                              <wps:spPr>
                                <a:xfrm rot="-5400000">
                                  <a:off x="1605579" y="346430"/>
                                  <a:ext cx="146398" cy="305626"/>
                                </a:xfrm>
                                <a:prstGeom prst="curvedConnector3">
                                  <a:avLst>
                                    <a:gd name="adj1" fmla="val 49782"/>
                                  </a:avLst>
                                </a:prstGeom>
                                <a:ln w="9525" cap="flat" cmpd="sng">
                                  <a:solidFill>
                                    <a:srgbClr val="000000"/>
                                  </a:solidFill>
                                  <a:prstDash val="dash"/>
                                  <a:headEnd type="none" w="med" len="med"/>
                                  <a:tailEnd type="triangle" w="med" len="med"/>
                                </a:ln>
                              </wps:spPr>
                              <wps:bodyPr/>
                            </wps:wsp>
                            <wps:wsp>
                              <wps:cNvPr id="34" name="文本框 125"/>
                              <wps:cNvSpPr txBox="1"/>
                              <wps:spPr>
                                <a:xfrm>
                                  <a:off x="2103972" y="1649743"/>
                                  <a:ext cx="444794" cy="240821"/>
                                </a:xfrm>
                                <a:prstGeom prst="rect">
                                  <a:avLst/>
                                </a:prstGeom>
                                <a:solidFill>
                                  <a:srgbClr val="FFFFFF"/>
                                </a:solidFill>
                                <a:ln>
                                  <a:noFill/>
                                </a:ln>
                              </wps:spPr>
                              <wps:txbx>
                                <w:txbxContent>
                                  <w:p>
                                    <w:pPr>
                                      <w:snapToGrid w:val="0"/>
                                      <w:spacing w:line="240" w:lineRule="atLeast"/>
                                      <w:ind w:left="0" w:leftChars="0" w:right="0" w:rightChars="0"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12</w:t>
                                    </w:r>
                                  </w:p>
                                </w:txbxContent>
                              </wps:txbx>
                              <wps:bodyPr upright="1"/>
                            </wps:wsp>
                            <wps:wsp>
                              <wps:cNvPr id="35" name="自选图形 126"/>
                              <wps:cNvCnPr/>
                              <wps:spPr>
                                <a:xfrm rot="-5400000">
                                  <a:off x="2076773" y="1800156"/>
                                  <a:ext cx="159998" cy="340029"/>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 name="自选图形 130"/>
                              <wps:cNvCnPr/>
                              <wps:spPr>
                                <a:xfrm rot="-5400000">
                                  <a:off x="1648778" y="1053691"/>
                                  <a:ext cx="142398" cy="244821"/>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7" name="自选图形 140"/>
                              <wps:cNvCnPr/>
                              <wps:spPr>
                                <a:xfrm>
                                  <a:off x="206397" y="1805756"/>
                                  <a:ext cx="681591" cy="0"/>
                                </a:xfrm>
                                <a:prstGeom prst="straightConnector1">
                                  <a:avLst/>
                                </a:prstGeom>
                                <a:ln w="9525" cap="flat" cmpd="sng">
                                  <a:solidFill>
                                    <a:srgbClr val="000000"/>
                                  </a:solidFill>
                                  <a:prstDash val="solid"/>
                                  <a:headEnd type="none" w="med" len="med"/>
                                  <a:tailEnd type="none" w="med" len="med"/>
                                </a:ln>
                              </wps:spPr>
                              <wps:bodyPr/>
                            </wps:wsp>
                            <wps:wsp>
                              <wps:cNvPr id="38" name="文本框 141"/>
                              <wps:cNvSpPr txBox="1"/>
                              <wps:spPr>
                                <a:xfrm>
                                  <a:off x="189598" y="1887363"/>
                                  <a:ext cx="640792"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63.57</w:t>
                                    </w:r>
                                  </w:p>
                                </w:txbxContent>
                              </wps:txbx>
                              <wps:bodyPr upright="1"/>
                            </wps:wsp>
                            <wps:wsp>
                              <wps:cNvPr id="39" name="文本框 142"/>
                              <wps:cNvSpPr txBox="1"/>
                              <wps:spPr>
                                <a:xfrm>
                                  <a:off x="232797" y="1395321"/>
                                  <a:ext cx="546393" cy="241621"/>
                                </a:xfrm>
                                <a:prstGeom prst="rect">
                                  <a:avLst/>
                                </a:prstGeom>
                                <a:solidFill>
                                  <a:srgbClr val="FFFFFF"/>
                                </a:solidFill>
                                <a:ln>
                                  <a:noFill/>
                                </a:ln>
                              </wps:spPr>
                              <wps:txbx>
                                <w:txbxContent>
                                  <w:p>
                                    <w:pPr>
                                      <w:snapToGrid w:val="0"/>
                                      <w:spacing w:line="240" w:lineRule="atLeast"/>
                                      <w:ind w:firstLine="0" w:firstLineChars="0"/>
                                      <w:jc w:val="center"/>
                                      <w:rPr>
                                        <w:rFonts w:cs="Times New Roman"/>
                                        <w:sz w:val="18"/>
                                        <w:szCs w:val="18"/>
                                      </w:rPr>
                                    </w:pPr>
                                    <w:r>
                                      <w:rPr>
                                        <w:rFonts w:cs="Times New Roman"/>
                                        <w:sz w:val="18"/>
                                        <w:szCs w:val="18"/>
                                      </w:rPr>
                                      <w:t>自来水</w:t>
                                    </w:r>
                                  </w:p>
                                </w:txbxContent>
                              </wps:txbx>
                              <wps:bodyPr upright="1"/>
                            </wps:wsp>
                            <wps:wsp>
                              <wps:cNvPr id="40" name="自选图形 143"/>
                              <wps:cNvCnPr/>
                              <wps:spPr>
                                <a:xfrm>
                                  <a:off x="4121546" y="2504217"/>
                                  <a:ext cx="4800" cy="385633"/>
                                </a:xfrm>
                                <a:prstGeom prst="straightConnector1">
                                  <a:avLst/>
                                </a:prstGeom>
                                <a:ln w="9525" cap="flat" cmpd="sng">
                                  <a:solidFill>
                                    <a:srgbClr val="000000"/>
                                  </a:solidFill>
                                  <a:prstDash val="solid"/>
                                  <a:headEnd type="none" w="med" len="med"/>
                                  <a:tailEnd type="triangle" w="med" len="med"/>
                                </a:ln>
                              </wps:spPr>
                              <wps:bodyPr/>
                            </wps:wsp>
                            <wps:wsp>
                              <wps:cNvPr id="41" name="直线 152"/>
                              <wps:cNvCnPr/>
                              <wps:spPr>
                                <a:xfrm>
                                  <a:off x="3107959" y="1741751"/>
                                  <a:ext cx="559193" cy="800"/>
                                </a:xfrm>
                                <a:prstGeom prst="line">
                                  <a:avLst/>
                                </a:prstGeom>
                                <a:ln w="9525" cap="flat" cmpd="sng">
                                  <a:solidFill>
                                    <a:srgbClr val="000000"/>
                                  </a:solidFill>
                                  <a:prstDash val="solid"/>
                                  <a:headEnd type="none" w="med" len="med"/>
                                  <a:tailEnd type="triangle" w="med" len="med"/>
                                </a:ln>
                              </wps:spPr>
                              <wps:bodyPr upright="1"/>
                            </wps:wsp>
                            <wps:wsp>
                              <wps:cNvPr id="42" name="文本框 157"/>
                              <wps:cNvSpPr txBox="1"/>
                              <wps:spPr>
                                <a:xfrm>
                                  <a:off x="3546353" y="2889050"/>
                                  <a:ext cx="1107985"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姚安县污水处理厂</w:t>
                                    </w:r>
                                  </w:p>
                                </w:txbxContent>
                              </wps:txbx>
                              <wps:bodyPr upright="1"/>
                            </wps:wsp>
                            <wps:wsp>
                              <wps:cNvPr id="44" name="文本框 3"/>
                              <wps:cNvSpPr txBox="1"/>
                              <wps:spPr>
                                <a:xfrm>
                                  <a:off x="1255395" y="2827655"/>
                                  <a:ext cx="760095" cy="257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hint="eastAsia" w:cs="Times New Roman"/>
                                        <w:sz w:val="18"/>
                                        <w:szCs w:val="18"/>
                                        <w:lang w:val="en-US" w:eastAsia="zh-CN"/>
                                      </w:rPr>
                                      <w:t>绿化</w:t>
                                    </w:r>
                                    <w:r>
                                      <w:rPr>
                                        <w:rFonts w:cs="Times New Roman"/>
                                        <w:sz w:val="18"/>
                                        <w:szCs w:val="18"/>
                                      </w:rPr>
                                      <w:t>用水</w:t>
                                    </w:r>
                                  </w:p>
                                </w:txbxContent>
                              </wps:txbx>
                              <wps:bodyPr upright="1"/>
                            </wps:wsp>
                            <wps:wsp>
                              <wps:cNvPr id="45" name="文本框 4"/>
                              <wps:cNvSpPr txBox="1"/>
                              <wps:spPr>
                                <a:xfrm>
                                  <a:off x="1638935" y="2383155"/>
                                  <a:ext cx="939800" cy="237490"/>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蒸发损耗2.67</w:t>
                                    </w:r>
                                  </w:p>
                                </w:txbxContent>
                              </wps:txbx>
                              <wps:bodyPr upright="1"/>
                            </wps:wsp>
                            <wps:wsp>
                              <wps:cNvPr id="46" name="自选图形 5"/>
                              <wps:cNvCnPr/>
                              <wps:spPr>
                                <a:xfrm flipV="1">
                                  <a:off x="1646378" y="2608226"/>
                                  <a:ext cx="419194" cy="207218"/>
                                </a:xfrm>
                                <a:prstGeom prst="curvedConnector3">
                                  <a:avLst>
                                    <a:gd name="adj1" fmla="val 45301"/>
                                  </a:avLst>
                                </a:prstGeom>
                                <a:ln w="9525" cap="flat" cmpd="sng">
                                  <a:solidFill>
                                    <a:srgbClr val="000000"/>
                                  </a:solidFill>
                                  <a:prstDash val="dash"/>
                                  <a:headEnd type="none" w="med" len="med"/>
                                  <a:tailEnd type="triangle" w="med" len="med"/>
                                </a:ln>
                              </wps:spPr>
                              <wps:bodyPr/>
                            </wps:wsp>
                            <wps:wsp>
                              <wps:cNvPr id="47" name="自选图形 8"/>
                              <wps:cNvCnPr/>
                              <wps:spPr>
                                <a:xfrm rot="10800000" flipH="1" flipV="1">
                                  <a:off x="1140785" y="694460"/>
                                  <a:ext cx="113599" cy="2208991"/>
                                </a:xfrm>
                                <a:prstGeom prst="bentConnector3">
                                  <a:avLst>
                                    <a:gd name="adj1" fmla="val -209495"/>
                                  </a:avLst>
                                </a:prstGeom>
                                <a:ln w="9525" cap="flat" cmpd="sng">
                                  <a:solidFill>
                                    <a:srgbClr val="000000"/>
                                  </a:solidFill>
                                  <a:prstDash val="solid"/>
                                  <a:miter/>
                                  <a:headEnd type="triangle" w="med" len="med"/>
                                  <a:tailEnd type="triangle" w="med" len="med"/>
                                </a:ln>
                              </wps:spPr>
                              <wps:bodyPr/>
                            </wps:wsp>
                            <wps:wsp>
                              <wps:cNvPr id="48" name="文本框 13"/>
                              <wps:cNvSpPr txBox="1"/>
                              <wps:spPr>
                                <a:xfrm>
                                  <a:off x="1337582" y="1222506"/>
                                  <a:ext cx="792790" cy="241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hint="eastAsia" w:cs="Times New Roman" w:eastAsiaTheme="minorEastAsia"/>
                                        <w:sz w:val="18"/>
                                        <w:szCs w:val="18"/>
                                        <w:lang w:eastAsia="zh-CN"/>
                                      </w:rPr>
                                    </w:pPr>
                                    <w:r>
                                      <w:rPr>
                                        <w:rFonts w:hint="eastAsia" w:cs="Times New Roman"/>
                                        <w:sz w:val="18"/>
                                        <w:szCs w:val="18"/>
                                        <w:lang w:eastAsia="zh-CN"/>
                                      </w:rPr>
                                      <w:t>门诊用水</w:t>
                                    </w:r>
                                  </w:p>
                                </w:txbxContent>
                              </wps:txbx>
                              <wps:bodyPr upright="1"/>
                            </wps:wsp>
                            <wps:wsp>
                              <wps:cNvPr id="49" name="自选图形 14"/>
                              <wps:cNvCnPr/>
                              <wps:spPr>
                                <a:xfrm>
                                  <a:off x="2129572" y="1343316"/>
                                  <a:ext cx="274396" cy="829672"/>
                                </a:xfrm>
                                <a:prstGeom prst="bentConnector3">
                                  <a:avLst>
                                    <a:gd name="adj1" fmla="val 344444"/>
                                  </a:avLst>
                                </a:prstGeom>
                                <a:ln w="9525" cap="flat" cmpd="sng">
                                  <a:solidFill>
                                    <a:srgbClr val="000000"/>
                                  </a:solidFill>
                                  <a:prstDash val="solid"/>
                                  <a:miter/>
                                  <a:headEnd type="none" w="med" len="med"/>
                                  <a:tailEnd type="none" w="med" len="med"/>
                                </a:ln>
                              </wps:spPr>
                              <wps:bodyPr/>
                            </wps:wsp>
                            <wps:wsp>
                              <wps:cNvPr id="55" name="肘形连接符 55"/>
                              <wps:cNvCnPr>
                                <a:stCxn id="31" idx="3"/>
                                <a:endCxn id="26" idx="0"/>
                              </wps:cNvCnPr>
                              <wps:spPr>
                                <a:xfrm>
                                  <a:off x="2065020" y="281940"/>
                                  <a:ext cx="2026920" cy="132143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76" o:spid="_x0000_s1026" o:spt="203" style="height:259.55pt;width:419.9pt;" coordsize="5332730,3296285" editas="canvas" o:gfxdata="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">
                      <o:lock v:ext="edit" aspectratio="f"/>
                      <v:shape id="画布 76" o:spid="_x0000_s1026" style="position:absolute;left:0;top:0;height:3296285;width:5332730;" filled="f" stroked="f" coordsize="21600,21600" o:gfxdata="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kVQ0EdYA&#10;AAAFAQAADwAAAAAAAAABACAAAAAiAAAAZHJzL2Rvd25yZXYueG1sUEsBAhQAFAAAAAgAh07iQNjl&#10;jfpBCQAAWEgAAA4AAAAAAAAAAQAgAAAAJQEAAGRycy9lMm9Eb2MueG1sUEsFBgAAAAAGAAYAWQEA&#10;ANgMAAAAAA==&#10;">
                        <v:fill on="f" focussize="0,0"/>
                        <v:stroke on="f"/>
                        <v:imagedata o:title=""/>
                        <o:lock v:ext="edit" aspectratio="t"/>
                      </v:shape>
                      <v:shape id="文本框 78" o:spid="_x0000_s1026" o:spt="202" type="#_x0000_t202" style="position:absolute;left:3146359;top:1440925;height:240821;width:5015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2EZpPdABAACE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v:textbox>
                      </v:shape>
                      <v:shape id="文本框 81" o:spid="_x0000_s1026" o:spt="202" type="#_x0000_t202" style="position:absolute;left:2489567;top:1929767;height:241621;width:5031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&#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fr4rv9ABAACE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both"/>
                                <w:rPr>
                                  <w:rFonts w:hint="default"/>
                                  <w:sz w:val="21"/>
                                  <w:szCs w:val="21"/>
                                  <w:lang w:val="en-US" w:eastAsia="zh-CN"/>
                                </w:rPr>
                              </w:pPr>
                              <w:r>
                                <w:rPr>
                                  <w:rFonts w:hint="eastAsia"/>
                                  <w:sz w:val="21"/>
                                  <w:szCs w:val="21"/>
                                  <w:lang w:val="en-US" w:eastAsia="zh-CN"/>
                                </w:rPr>
                                <w:t>48</w:t>
                              </w:r>
                            </w:p>
                          </w:txbxContent>
                        </v:textbox>
                      </v:shape>
                      <v:shape id="文本框 86" o:spid="_x0000_s1026" o:spt="202" type="#_x0000_t202" style="position:absolute;left:903188;top:2541820;height:240821;width:4439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PzEZXzOAQAAgw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2.67</w:t>
                              </w:r>
                            </w:p>
                          </w:txbxContent>
                        </v:textbox>
                      </v:shape>
                      <v:shape id="文本框 91" o:spid="_x0000_s1026" o:spt="202" type="#_x0000_t202" style="position:absolute;left:1619179;top:859274;height:245621;width:4455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ejNF99ABAACD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16</w:t>
                              </w:r>
                            </w:p>
                          </w:txbxContent>
                        </v:textbox>
                      </v:shape>
                      <v:shape id="文本框 93" o:spid="_x0000_s1026" o:spt="202" type="#_x0000_t202" style="position:absolute;left:991987;top:1931367;height:240821;width:4447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MH4gknOAQAAgw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60</w:t>
                              </w:r>
                            </w:p>
                          </w:txbxContent>
                        </v:textbox>
                      </v:shape>
                      <v:shape id="文本框 94" o:spid="_x0000_s1026" o:spt="202" type="#_x0000_t202" style="position:absolute;left:2413568;top:1104896;height:240821;width:4423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FGEV1rOAQAAhA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64</w:t>
                              </w:r>
                            </w:p>
                          </w:txbxContent>
                        </v:textbox>
                      </v:shape>
                      <v:shape id="文本框 95" o:spid="_x0000_s1026" o:spt="202" type="#_x0000_t202" style="position:absolute;left:2650490;top:304800;height:242570;width:443865;"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AARR+jzwEAAIM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0.08</w:t>
                              </w:r>
                            </w:p>
                          </w:txbxContent>
                        </v:textbox>
                      </v:shape>
                      <v:shape id="文本框 96" o:spid="_x0000_s1026" o:spt="202" type="#_x0000_t202" style="position:absolute;left:573592;top:404835;height:244021;width:495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bsfiwzwEAAII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0.1</w:t>
                              </w:r>
                            </w:p>
                          </w:txbxContent>
                        </v:textbox>
                      </v:shape>
                      <v:shape id="文本框 97" o:spid="_x0000_s1026" o:spt="202" type="#_x0000_t202" style="position:absolute;left:1141585;top:572049;height:244021;width:8327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4EW7WAAAABQEAAA8AAAAA&#10;AAAAAQAgAAAAIgAAAGRycy9kb3ducmV2LnhtbFBLAQIUABQAAAAIAIdO4kADOOq5FgIAAEIEAAAO&#10;AAAAAAAAAAEAIAAAACUBAABkcnMvZTJvRG9jLnhtbFBLBQYAAAAABgAGAFkBAACtBQAAAAA=&#10;">
                        <v:fill on="t" focussize="0,0"/>
                        <v:stroke color="#000000" joinstyle="miter"/>
                        <v:imagedata o:title=""/>
                        <o:lock v:ext="edit" aspectratio="f"/>
                        <v:textbox>
                          <w:txbxContent>
                            <w:p>
                              <w:pPr>
                                <w:snapToGrid w:val="0"/>
                                <w:spacing w:line="240" w:lineRule="atLeast"/>
                                <w:ind w:firstLine="0" w:firstLineChars="0"/>
                                <w:jc w:val="center"/>
                                <w:rPr>
                                  <w:rFonts w:hint="eastAsia" w:cs="Times New Roman" w:eastAsiaTheme="minorEastAsia"/>
                                  <w:sz w:val="18"/>
                                  <w:szCs w:val="18"/>
                                  <w:lang w:val="en-US" w:eastAsia="zh-CN"/>
                                </w:rPr>
                              </w:pPr>
                              <w:r>
                                <w:rPr>
                                  <w:rFonts w:hint="eastAsia" w:cs="Times New Roman"/>
                                  <w:sz w:val="18"/>
                                  <w:szCs w:val="18"/>
                                  <w:lang w:val="en-US" w:eastAsia="zh-CN"/>
                                </w:rPr>
                                <w:t>检验废液</w:t>
                              </w:r>
                            </w:p>
                          </w:txbxContent>
                        </v:textbox>
                      </v:shape>
                      <v:shape id="文本框 101" o:spid="_x0000_s1026" o:spt="202" type="#_x0000_t202" style="position:absolute;left:1568779;top:2050577;height:244021;width:8351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CnPn7B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住院用水</w:t>
                              </w:r>
                            </w:p>
                          </w:txbxContent>
                        </v:textbox>
                      </v:shape>
                      <v:shape id="自选图形 106" o:spid="_x0000_s1026" o:spt="32" type="#_x0000_t32" style="position:absolute;left:903188;top:2171388;height:800;width:665591;" filled="f" stroked="t" coordsize="21600,21600" o:gfxdata="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kjTdNYAAAAFAQAADwAAAAAAAAABACAAAAAi&#10;AAAAZHJzL2Rvd25yZXYueG1sUEsBAhQAFAAAAAgAh07iQE6AwO0MAgAA9gMAAA4AAAAAAAAAAQAg&#10;AAAAJQEAAGRycy9lMm9Eb2MueG1sUEsFBgAAAAAGAAYAWQEAAKMFAAAAAA==&#10;">
                        <v:fill on="f" focussize="0,0"/>
                        <v:stroke color="#000000" joinstyle="round" endarrow="block"/>
                        <v:imagedata o:title=""/>
                        <o:lock v:ext="edit" aspectratio="f"/>
                      </v:shape>
                      <v:shape id="自选图形 109" o:spid="_x0000_s1026" o:spt="32" type="#_x0000_t32" style="position:absolute;left:903188;top:1345716;flip:y;height:800;width:443994;" filled="f" stroked="t" coordsize="21600,21600" o:gfxdata="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1PsK1gAAAAUBAAAPAAAAAAAA&#10;AAEAIAAAACIAAABkcnMvZG93bnJldi54bWxQSwECFAAUAAAACACHTuJAyG92MhQCAAAABAAADgAA&#10;AAAAAAABACAAAAAlAQAAZHJzL2Uyb0RvYy54bWxQSwUGAAAAAAYABgBZAQAAqwUAAAAA&#10;">
                        <v:fill on="f" focussize="0,0"/>
                        <v:stroke color="#000000" joinstyle="round" endarrow="block"/>
                        <v:imagedata o:title=""/>
                        <o:lock v:ext="edit" aspectratio="f"/>
                      </v:shape>
                      <v:shape id="文本框 111" o:spid="_x0000_s1026" o:spt="202" type="#_x0000_t202" style="position:absolute;left:3663952;top:1603339;height:244021;width:8551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Dj8t0f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化粪池</w:t>
                              </w:r>
                            </w:p>
                          </w:txbxContent>
                        </v:textbox>
                      </v:shape>
                      <v:shape id="文本框 112" o:spid="_x0000_s1026" o:spt="202" type="#_x0000_t202" style="position:absolute;left:3669552;top:2258595;height:244821;width:8567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B+3Alj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污水处理站</w:t>
                              </w:r>
                            </w:p>
                          </w:txbxContent>
                        </v:textbox>
                      </v:shape>
                      <v:shape id="自选图形 118" o:spid="_x0000_s1026" o:spt="32" type="#_x0000_t32" style="position:absolute;left:4105546;top:1859361;flip:x;height:386433;width:8000;" filled="f" stroked="t" coordsize="21600,21600" o:gfxdata="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U+wrWAAAABQEAAA8AAAAA&#10;AAAAAQAgAAAAIgAAAGRycy9kb3ducmV2LnhtbFBLAQIUABQAAAAIAIdO4kB8dfikFgIAAAIEAAAO&#10;AAAAAAAAAAEAIAAAACUBAABkcnMvZTJvRG9jLnhtbFBLBQYAAAAABgAGAFkBAACtBQAAAAA=&#10;">
                        <v:fill on="f" focussize="0,0"/>
                        <v:stroke color="#000000" joinstyle="round" endarrow="block"/>
                        <v:imagedata o:title=""/>
                        <o:lock v:ext="edit" aspectratio="f"/>
                      </v:shape>
                      <v:shape id="文本框 120" o:spid="_x0000_s1026" o:spt="202" type="#_x0000_t202" style="position:absolute;left:4306343;top:1944968;height:240821;width:543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EL5A1rOAQAAhQ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v:textbox>
                      </v:shape>
                      <v:shape id="文本框 121" o:spid="_x0000_s1026" o:spt="202" type="#_x0000_t202" style="position:absolute;left:1568779;top:159214;height:245621;width:495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&#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A0IYp5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02</w:t>
                              </w:r>
                            </w:p>
                          </w:txbxContent>
                        </v:textbox>
                      </v:shape>
                      <v:shape id="文本框 123" o:spid="_x0000_s1026" o:spt="202" type="#_x0000_t202" style="position:absolute;left:972787;top:1050491;height:244021;width:403195;v-text-anchor:middle;" fillcolor="#FFFFFF" filled="t" stroked="f" coordsize="21600,21600" o:gfxdata="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kgi71QAA&#10;AAUBAAAPAAAAAAAAAAEAIAAAACIAAABkcnMvZG93bnJldi54bWxQSwECFAAUAAAACACHTuJA9x6Z&#10;a+gBAAC1AwAADgAAAAAAAAABACAAAAAkAQAAZHJzL2Uyb0RvYy54bWxQSwUGAAAAAAYABgBZAQAA&#10;fgUAAAAA&#10;">
                        <v:fill on="t" focussize="0,0"/>
                        <v:stroke on="f"/>
                        <v:imagedata o:title=""/>
                        <o:lock v:ext="edit" aspectratio="f"/>
                        <v:textbox inset="0mm,0mm,0mm,0mm">
                          <w:txbxContent>
                            <w:p>
                              <w:pPr>
                                <w:snapToGrid w:val="0"/>
                                <w:spacing w:line="240" w:lineRule="atLeast"/>
                                <w:ind w:firstLine="0" w:firstLineChars="0"/>
                                <w:jc w:val="center"/>
                                <w:rPr>
                                  <w:rFonts w:hint="eastAsia"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8</w:t>
                              </w:r>
                            </w:p>
                          </w:txbxContent>
                        </v:textbox>
                      </v:shape>
                      <v:shape id="自选图形 124" o:spid="_x0000_s1026" o:spt="38" type="#_x0000_t38" style="position:absolute;left:1605579;top:346430;height:305626;width:146398;rotation:-5898240f;" filled="f" stroked="t" coordsize="21600,21600" o:gfxdata="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bmXTtQAAAAFAQAADwAAAAAAAAABACAAAAAiAAAAZHJzL2Rvd25yZXYueG1sUEsBAhQA&#10;FAAAAAgAh07iQCnuhWkvAgAAMgQAAA4AAAAAAAAAAQAgAAAAIwEAAGRycy9lMm9Eb2MueG1sUEsF&#10;BgAAAAAGAAYAWQEAAMQFAAAAAA==&#10;" adj="10753">
                        <v:fill on="f" focussize="0,0"/>
                        <v:stroke color="#000000" joinstyle="round" dashstyle="dash" endarrow="block"/>
                        <v:imagedata o:title=""/>
                        <o:lock v:ext="edit" aspectratio="f"/>
                      </v:shape>
                      <v:shape id="文本框 125" o:spid="_x0000_s1026" o:spt="202" type="#_x0000_t202" style="position:absolute;left:2103972;top:1649743;height:240821;width:4447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PNWWdUAAAAFAQAADwAAAAAAAAABACAAAAAiAAAA&#10;ZHJzL2Rvd25yZXYueG1sUEsBAhQAFAAAAAgAh07iQHUwqX3RAQAAhQMAAA4AAAAAAAAAAQAgAAAA&#10;JAEAAGRycy9lMm9Eb2MueG1sUEsFBgAAAAAGAAYAWQEAAGcFAAAAAA==&#10;">
                        <v:fill on="t" focussize="0,0"/>
                        <v:stroke on="f"/>
                        <v:imagedata o:title=""/>
                        <o:lock v:ext="edit" aspectratio="f"/>
                        <v:textbox>
                          <w:txbxContent>
                            <w:p>
                              <w:pPr>
                                <w:snapToGrid w:val="0"/>
                                <w:spacing w:line="240" w:lineRule="atLeast"/>
                                <w:ind w:left="0" w:leftChars="0" w:right="0" w:rightChars="0"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12</w:t>
                              </w:r>
                            </w:p>
                          </w:txbxContent>
                        </v:textbox>
                      </v:shape>
                      <v:shape id="自选图形 126" o:spid="_x0000_s1026" o:spt="38" type="#_x0000_t38" style="position:absolute;left:2076773;top:1800156;height:340029;width:159998;rotation:-5898240f;" filled="f" stroked="t" coordsize="21600,21600" o:gfxdata="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MbMC1gAAAAUBAAAPAAAAAAAAAAEAIAAAACIAAABkcnMvZG93bnJldi54bWxQSwEC&#10;FAAUAAAACACHTuJAu4wYvi8CAAAzBAAADgAAAAAAAAABACAAAAAlAQAAZHJzL2Uyb0RvYy54bWxQ&#10;SwUGAAAAAAYABgBZAQAAxgUAAAAA&#10;" adj="10800">
                        <v:fill on="f" focussize="0,0"/>
                        <v:stroke color="#000000" joinstyle="round" dashstyle="dash" endarrow="block"/>
                        <v:imagedata o:title=""/>
                        <o:lock v:ext="edit" aspectratio="f"/>
                      </v:shape>
                      <v:shape id="自选图形 130" o:spid="_x0000_s1026" o:spt="38" type="#_x0000_t38" style="position:absolute;left:1648778;top:1053691;height:244821;width:142398;rotation:-5898240f;" filled="f" stroked="t" coordsize="21600,21600" o:gfxdata="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zGzAtYAAAAFAQAADwAAAAAAAAABACAAAAAiAAAAZHJzL2Rvd25yZXYueG1sUEsBAhQA&#10;FAAAAAgAh07iQHXBSE0tAgAAMwQAAA4AAAAAAAAAAQAgAAAAJQEAAGRycy9lMm9Eb2MueG1sUEsF&#10;BgAAAAAGAAYAWQEAAMQFAAAAAA==&#10;" adj="10800">
                        <v:fill on="f" focussize="0,0"/>
                        <v:stroke color="#000000" joinstyle="round" dashstyle="dash" endarrow="block"/>
                        <v:imagedata o:title=""/>
                        <o:lock v:ext="edit" aspectratio="f"/>
                      </v:shape>
                      <v:shape id="自选图形 140" o:spid="_x0000_s1026" o:spt="32" type="#_x0000_t32" style="position:absolute;left:206397;top:1805756;height:0;width:681591;" filled="f" stroked="t" coordsize="21600,21600" o:gfxdata="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jLm41QAAAAUBAAAPAAAAAAAAAAEAIAAAACIAAABkcnMvZG93&#10;bnJldi54bWxQSwECFAAUAAAACACHTuJA7GK3ewMCAADwAwAADgAAAAAAAAABACAAAAAkAQAAZHJz&#10;L2Uyb0RvYy54bWxQSwUGAAAAAAYABgBZAQAAmQUAAAAA&#10;">
                        <v:fill on="f" focussize="0,0"/>
                        <v:stroke color="#000000" joinstyle="round"/>
                        <v:imagedata o:title=""/>
                        <o:lock v:ext="edit" aspectratio="f"/>
                      </v:shape>
                      <v:shape id="文本框 141" o:spid="_x0000_s1026" o:spt="202" type="#_x0000_t202" style="position:absolute;left:189598;top:1887363;height:240821;width:640792;"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&#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0Uek5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63.57</w:t>
                              </w:r>
                            </w:p>
                          </w:txbxContent>
                        </v:textbox>
                      </v:shape>
                      <v:shape id="文本框 142" o:spid="_x0000_s1026" o:spt="202" type="#_x0000_t202" style="position:absolute;left:232797;top:1395321;height:241621;width:5463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CD0OwV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自来水</w:t>
                              </w:r>
                            </w:p>
                          </w:txbxContent>
                        </v:textbox>
                      </v:shape>
                      <v:shape id="自选图形 143" o:spid="_x0000_s1026" o:spt="32" type="#_x0000_t32" style="position:absolute;left:4121546;top:2504217;height:385633;width:4800;" filled="f" stroked="t" coordsize="21600,21600" o:gfxdata="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SNN01gAAAAUBAAAPAAAAAAAAAAEAIAAA&#10;ACIAAABkcnMvZG93bnJldi54bWxQSwECFAAUAAAACACHTuJADEe0tw4CAAD4AwAADgAAAAAAAAAB&#10;ACAAAAAlAQAAZHJzL2Uyb0RvYy54bWxQSwUGAAAAAAYABgBZAQAApQUAAAAA&#10;">
                        <v:fill on="f" focussize="0,0"/>
                        <v:stroke color="#000000" joinstyle="round" endarrow="block"/>
                        <v:imagedata o:title=""/>
                        <o:lock v:ext="edit" aspectratio="f"/>
                      </v:shape>
                      <v:line id="直线 152" o:spid="_x0000_s1026" o:spt="20" style="position:absolute;left:3107959;top:1741751;height:800;width:559193;" filled="f" stroked="t" coordsize="21600,21600" o:gfxdata="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SpDtcAAAAFAQAADwAAAAAAAAABACAAAAAiAAAAZHJzL2Rv&#10;d25yZXYueG1sUEsBAhQAFAAAAAgAh07iQM2bCmwCAgAA7wMAAA4AAAAAAAAAAQAgAAAAJgEAAGRy&#10;cy9lMm9Eb2MueG1sUEsFBgAAAAAGAAYAWQEAAJoFAAAAAA==&#10;">
                        <v:fill on="f" focussize="0,0"/>
                        <v:stroke color="#000000" joinstyle="round" endarrow="block"/>
                        <v:imagedata o:title=""/>
                        <o:lock v:ext="edit" aspectratio="f"/>
                      </v:line>
                      <v:shape id="文本框 157" o:spid="_x0000_s1026" o:spt="202" type="#_x0000_t202" style="position:absolute;left:3546353;top:2889050;height:240821;width:1107985;"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DzVlnVAAAABQEAAA8AAAAAAAAAAQAgAAAAIgAA&#10;AGRycy9kb3ducmV2LnhtbFBLAQIUABQAAAAIAIdO4kD8l22L0gEAAIYDAAAOAAAAAAAAAAEAIAAA&#10;ACQBAABkcnMvZTJvRG9jLnhtbFBLBQYAAAAABgAGAFkBAABo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姚安县污水处理厂</w:t>
                              </w:r>
                            </w:p>
                          </w:txbxContent>
                        </v:textbox>
                      </v:shape>
                      <v:shape id="文本框 3" o:spid="_x0000_s1026" o:spt="202" type="#_x0000_t202" style="position:absolute;left:1255395;top:2827655;height:257810;width:760095;"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uBFu1gAAAAUBAAAPAAAA&#10;AAAAAAEAIAAAACIAAABkcnMvZG93bnJldi54bWxQSwECFAAUAAAACACHTuJAC7T2vhcCAABCBAAA&#10;DgAAAAAAAAABACAAAAAlAQAAZHJzL2Uyb0RvYy54bWxQSwUGAAAAAAYABgBZAQAArgU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hint="eastAsia" w:cs="Times New Roman"/>
                                  <w:sz w:val="18"/>
                                  <w:szCs w:val="18"/>
                                  <w:lang w:val="en-US" w:eastAsia="zh-CN"/>
                                </w:rPr>
                                <w:t>绿化</w:t>
                              </w:r>
                              <w:r>
                                <w:rPr>
                                  <w:rFonts w:cs="Times New Roman"/>
                                  <w:sz w:val="18"/>
                                  <w:szCs w:val="18"/>
                                </w:rPr>
                                <w:t>用水</w:t>
                              </w:r>
                            </w:p>
                          </w:txbxContent>
                        </v:textbox>
                      </v:shape>
                      <v:shape id="文本框 4" o:spid="_x0000_s1026" o:spt="202" type="#_x0000_t202" style="position:absolute;left:1638935;top:2383155;height:237490;width:939800;"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sqJD3zwEAAIM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蒸发损耗2.67</w:t>
                              </w:r>
                            </w:p>
                          </w:txbxContent>
                        </v:textbox>
                      </v:shape>
                      <v:shape id="自选图形 5" o:spid="_x0000_s1026" o:spt="38" type="#_x0000_t38" style="position:absolute;left:1646378;top:2608226;flip:y;height:207218;width:419194;" filled="f" stroked="t" coordsize="21600,21600" o:gfxdata="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XHmudUAAAAFAQAADwAAAAAAAAABACAAAAAiAAAAZHJzL2Rvd25yZXYueG1sUEsBAhQAFAAA&#10;AAgAh07iQC1a7s8rAgAALAQAAA4AAAAAAAAAAQAgAAAAJAEAAGRycy9lMm9Eb2MueG1sUEsFBgAA&#10;AAAGAAYAWQEAAMEFAAAAAA==&#10;" adj="9785">
                        <v:fill on="f" focussize="0,0"/>
                        <v:stroke color="#000000" joinstyle="round" dashstyle="dash" endarrow="block"/>
                        <v:imagedata o:title=""/>
                        <o:lock v:ext="edit" aspectratio="f"/>
                      </v:shape>
                      <v:shape id="自选图形 8" o:spid="_x0000_s1026" o:spt="34" type="#_x0000_t34" style="position:absolute;left:1140785;top:694460;flip:x y;height:2208991;width:113599;rotation:11796480f;" filled="f" stroked="t" coordsize="21600,21600" o:gfxdata="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p4VW1AAAAAUBAAAPAAAAAAAAAAEAIAAAACIAAABkcnMvZG93bnJl&#10;di54bWxQSwECFAAUAAAACACHTuJAOGf6WToCAABUBAAADgAAAAAAAAABACAAAAAjAQAAZHJzL2Uy&#10;b0RvYy54bWxQSwUGAAAAAAYABgBZAQAAzwUAAAAA&#10;" adj="-45251">
                        <v:fill on="f" focussize="0,0"/>
                        <v:stroke color="#000000" joinstyle="miter" startarrow="block" endarrow="block"/>
                        <v:imagedata o:title=""/>
                        <o:lock v:ext="edit" aspectratio="f"/>
                      </v:shape>
                      <v:shape id="文本框 13" o:spid="_x0000_s1026" o:spt="202" type="#_x0000_t202" style="position:absolute;left:1337582;top:1222506;height:241621;width:792790;"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AsqXIpGQIAAEM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hint="eastAsia" w:cs="Times New Roman" w:eastAsiaTheme="minorEastAsia"/>
                                  <w:sz w:val="18"/>
                                  <w:szCs w:val="18"/>
                                  <w:lang w:eastAsia="zh-CN"/>
                                </w:rPr>
                              </w:pPr>
                              <w:r>
                                <w:rPr>
                                  <w:rFonts w:hint="eastAsia" w:cs="Times New Roman"/>
                                  <w:sz w:val="18"/>
                                  <w:szCs w:val="18"/>
                                  <w:lang w:eastAsia="zh-CN"/>
                                </w:rPr>
                                <w:t>门诊用水</w:t>
                              </w:r>
                            </w:p>
                          </w:txbxContent>
                        </v:textbox>
                      </v:shape>
                      <v:shape id="自选图形 14" o:spid="_x0000_s1026" o:spt="34" type="#_x0000_t34" style="position:absolute;left:2129572;top:1343316;height:829672;width:274396;" filled="f" stroked="t" coordsize="21600,21600" o:gfxdata="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W9t79QAAAAF&#10;AQAADwAAAAAAAAABACAAAAAiAAAAZHJzL2Rvd25yZXYueG1sUEsBAhQAFAAAAAgAh07iQCIPTbIg&#10;AgAAKQQAAA4AAAAAAAAAAQAgAAAAIwEAAGRycy9lMm9Eb2MueG1sUEsFBgAAAAAGAAYAWQEAALUF&#10;AAAAAA==&#10;" adj="74400">
                        <v:fill on="f" focussize="0,0"/>
                        <v:stroke color="#000000" joinstyle="miter"/>
                        <v:imagedata o:title=""/>
                        <o:lock v:ext="edit" aspectratio="f"/>
                      </v:shape>
                      <v:shape id="_x0000_s1026" o:spid="_x0000_s1026" o:spt="33" type="#_x0000_t33" style="position:absolute;left:2065020;top:281940;height:1321435;width:2026920;" filled="f" stroked="t" coordsize="21600,21600" o:gfxdata="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rGzh1gAA&#10;AAUBAAAPAAAAAAAAAAEAIAAAACIAAABkcnMvZG93bnJldi54bWxQSwECFAAUAAAACACHTuJAgqD/&#10;EyACAAAVBAAADgAAAAAAAAABACAAAAAlAQAAZHJzL2Uyb0RvYy54bWxQSwUGAAAAAAYABgBZAQAA&#10;twUAAAAA&#10;">
                        <v:fill on="f" focussize="0,0"/>
                        <v:stroke color="#000000 [3213]" joinstyle="round" endarrow="block"/>
                        <v:imagedata o:title=""/>
                        <o:lock v:ext="edit" aspectratio="f"/>
                      </v:shape>
                      <w10:wrap type="none"/>
                      <w10:anchorlock/>
                    </v:group>
                  </w:pict>
                </mc:Fallback>
              </mc:AlternateContent>
            </w:r>
          </w:p>
          <w:p>
            <w:pPr>
              <w:snapToGrid w:val="0"/>
              <w:spacing w:line="360" w:lineRule="auto"/>
              <w:ind w:left="0" w:leftChars="0" w:right="0" w:rightChars="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图4-3项目水量平衡示意图   单位：m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p>
            <w:pPr>
              <w:ind w:firstLine="482"/>
              <w:rPr>
                <w:rFonts w:ascii="Times New Roman" w:hAnsi="Times New Roman"/>
                <w:b/>
                <w:color w:val="auto"/>
              </w:rPr>
            </w:pPr>
            <w:r>
              <w:rPr>
                <w:rFonts w:hint="eastAsia" w:ascii="Times New Roman" w:hAnsi="Times New Roman"/>
                <w:b/>
                <w:color w:val="auto"/>
              </w:rPr>
              <w:t>（2）废水处理方案及排放方式</w:t>
            </w:r>
          </w:p>
          <w:p>
            <w:pPr>
              <w:ind w:firstLine="480"/>
              <w:jc w:val="left"/>
              <w:rPr>
                <w:rFonts w:hint="eastAsia" w:eastAsia="宋体" w:cs="Times New Roman"/>
                <w:bCs/>
                <w:color w:val="auto"/>
                <w:szCs w:val="24"/>
              </w:rPr>
            </w:pPr>
            <w:r>
              <w:rPr>
                <w:rFonts w:hint="eastAsia" w:ascii="Times New Roman" w:hAnsi="Times New Roman"/>
                <w:color w:val="auto"/>
              </w:rPr>
              <w:t>项目实行雨污分流，雨水通过院内雨水沟排入院外道路雨水沟。检验废水</w:t>
            </w:r>
            <w:r>
              <w:rPr>
                <w:rFonts w:hint="eastAsia" w:ascii="Times New Roman" w:hAnsi="Times New Roman"/>
                <w:color w:val="auto"/>
                <w:lang w:val="en-US" w:eastAsia="zh-CN"/>
              </w:rPr>
              <w:t>用独立容器收集后</w:t>
            </w:r>
            <w:r>
              <w:rPr>
                <w:rFonts w:hint="eastAsia"/>
                <w:color w:val="auto"/>
                <w:lang w:val="en-US" w:eastAsia="zh-CN"/>
              </w:rPr>
              <w:t>委托有资质的单位</w:t>
            </w:r>
            <w:r>
              <w:rPr>
                <w:rFonts w:hint="eastAsia" w:ascii="Times New Roman" w:hAnsi="Times New Roman"/>
                <w:color w:val="auto"/>
                <w:lang w:val="en-US" w:eastAsia="zh-CN"/>
              </w:rPr>
              <w:t>清运处置。</w:t>
            </w:r>
            <w:r>
              <w:rPr>
                <w:rFonts w:hint="eastAsia" w:ascii="Times New Roman" w:hAnsi="Times New Roman"/>
                <w:color w:val="auto"/>
                <w:highlight w:val="none"/>
              </w:rPr>
              <w:t>门诊</w:t>
            </w:r>
            <w:r>
              <w:rPr>
                <w:rFonts w:hint="eastAsia" w:ascii="Times New Roman" w:hAnsi="Times New Roman"/>
                <w:color w:val="auto"/>
              </w:rPr>
              <w:t>废水和床位</w:t>
            </w:r>
            <w:r>
              <w:rPr>
                <w:rFonts w:hint="eastAsia" w:ascii="Times New Roman" w:hAnsi="Times New Roman"/>
                <w:color w:val="auto"/>
                <w:lang w:eastAsia="zh-CN"/>
              </w:rPr>
              <w:t>废水</w:t>
            </w:r>
            <w:r>
              <w:rPr>
                <w:rFonts w:hint="eastAsia" w:ascii="Times New Roman" w:hAnsi="Times New Roman"/>
                <w:color w:val="auto"/>
              </w:rPr>
              <w:t>经过</w:t>
            </w:r>
            <w:r>
              <w:rPr>
                <w:rFonts w:hint="eastAsia" w:ascii="Times New Roman" w:hAnsi="Times New Roman"/>
                <w:color w:val="auto"/>
                <w:lang w:eastAsia="zh-CN"/>
              </w:rPr>
              <w:t>医院自建污水管网收集</w:t>
            </w:r>
            <w:r>
              <w:rPr>
                <w:rFonts w:hint="eastAsia" w:ascii="Times New Roman" w:hAnsi="Times New Roman"/>
                <w:color w:val="auto"/>
              </w:rPr>
              <w:t>后流入化粪池</w:t>
            </w:r>
            <w:r>
              <w:rPr>
                <w:rFonts w:hint="eastAsia" w:ascii="Times New Roman" w:hAnsi="Times New Roman"/>
                <w:color w:val="auto"/>
                <w:lang w:eastAsia="zh-CN"/>
              </w:rPr>
              <w:t>，</w:t>
            </w:r>
            <w:r>
              <w:rPr>
                <w:rFonts w:hint="eastAsia" w:ascii="Times New Roman" w:hAnsi="Times New Roman"/>
                <w:color w:val="auto"/>
              </w:rPr>
              <w:t>再进入医院自建污水处理站进行处理</w:t>
            </w:r>
            <w:r>
              <w:rPr>
                <w:rFonts w:hint="eastAsia" w:ascii="Times New Roman" w:hAnsi="Times New Roman"/>
                <w:color w:val="auto"/>
                <w:lang w:eastAsia="zh-CN"/>
              </w:rPr>
              <w:t>。医院污水处理站</w:t>
            </w:r>
            <w:r>
              <w:rPr>
                <w:rFonts w:hint="eastAsia" w:ascii="Times New Roman" w:hAnsi="Times New Roman"/>
                <w:color w:val="auto"/>
              </w:rPr>
              <w:t>采用“生物接触氧化池+MBR反应池+消毒”工艺，根据《医院污水处理工程技术规范》（HJ2029-2013）</w:t>
            </w:r>
            <w:r>
              <w:rPr>
                <w:rFonts w:hint="eastAsia"/>
                <w:color w:val="auto"/>
                <w:lang w:eastAsia="zh-CN"/>
              </w:rPr>
              <w:t>，本项目需建设一个</w:t>
            </w:r>
            <w:r>
              <w:rPr>
                <w:rFonts w:hint="eastAsia" w:ascii="Times New Roman" w:hAnsi="Times New Roman"/>
                <w:color w:val="auto"/>
              </w:rPr>
              <w:t>处理规模为</w:t>
            </w:r>
            <w:r>
              <w:rPr>
                <w:rFonts w:hint="eastAsia" w:ascii="Times New Roman" w:hAnsi="Times New Roman"/>
                <w:color w:val="auto"/>
                <w:lang w:val="en-US" w:eastAsia="zh-CN"/>
              </w:rPr>
              <w:t>60</w:t>
            </w:r>
            <w:r>
              <w:rPr>
                <w:rFonts w:hint="eastAsia" w:ascii="Times New Roman" w:hAnsi="Times New Roman"/>
                <w:color w:val="auto"/>
              </w:rPr>
              <w:t>m³/d污水处理站</w:t>
            </w:r>
            <w:r>
              <w:rPr>
                <w:rFonts w:hint="eastAsia" w:ascii="Times New Roman" w:hAnsi="Times New Roman"/>
                <w:color w:val="auto"/>
                <w:lang w:eastAsia="zh-CN"/>
              </w:rPr>
              <w:t>，</w:t>
            </w:r>
            <w:r>
              <w:rPr>
                <w:rFonts w:hint="eastAsia" w:ascii="Times New Roman" w:hAnsi="Times New Roman"/>
                <w:color w:val="auto"/>
              </w:rPr>
              <w:t>处理达</w:t>
            </w:r>
            <w:r>
              <w:rPr>
                <w:rFonts w:hint="eastAsia" w:ascii="Times New Roman" w:hAnsi="Times New Roman" w:cs="Times New Roman"/>
                <w:color w:val="auto"/>
              </w:rPr>
              <w:t>《医疗机构水污染物排放标准》</w:t>
            </w:r>
            <w:r>
              <w:rPr>
                <w:rFonts w:hint="eastAsia" w:ascii="Times New Roman" w:hAnsi="Times New Roman" w:cs="Times New Roman"/>
                <w:color w:val="auto"/>
                <w:lang w:eastAsia="zh-CN"/>
              </w:rPr>
              <w:t>（</w:t>
            </w:r>
            <w:r>
              <w:rPr>
                <w:rFonts w:hint="eastAsia" w:ascii="Times New Roman" w:hAnsi="Times New Roman" w:cs="Times New Roman"/>
                <w:color w:val="auto"/>
              </w:rPr>
              <w:t>GB18466-2005</w:t>
            </w:r>
            <w:r>
              <w:rPr>
                <w:rFonts w:hint="eastAsia" w:ascii="Times New Roman" w:hAnsi="Times New Roman" w:cs="Times New Roman"/>
                <w:color w:val="auto"/>
                <w:lang w:eastAsia="zh-CN"/>
              </w:rPr>
              <w:t>）</w:t>
            </w:r>
            <w:r>
              <w:rPr>
                <w:rFonts w:hint="eastAsia" w:ascii="Times New Roman" w:hAnsi="Times New Roman" w:cs="Times New Roman"/>
                <w:color w:val="auto"/>
              </w:rPr>
              <w:t>表2中预处理标准</w:t>
            </w:r>
            <w:r>
              <w:rPr>
                <w:rFonts w:hint="eastAsia" w:ascii="Times New Roman" w:hAnsi="Times New Roman" w:cs="Times New Roman"/>
                <w:color w:val="auto"/>
                <w:lang w:val="en-US" w:eastAsia="zh-CN"/>
              </w:rPr>
              <w:t>和《污水排入城镇下水道水质标准》（</w:t>
            </w:r>
            <w:r>
              <w:rPr>
                <w:rFonts w:hint="default" w:ascii="Times New Roman" w:hAnsi="Times New Roman" w:cs="Times New Roman"/>
                <w:color w:val="auto"/>
                <w:lang w:val="en-US" w:eastAsia="zh-CN"/>
              </w:rPr>
              <w:t>GB/T31962-2015</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cs="Times New Roman"/>
                <w:color w:val="auto"/>
                <w:lang w:val="en-US" w:eastAsia="zh-CN"/>
              </w:rPr>
              <w:t>B</w:t>
            </w:r>
            <w:r>
              <w:rPr>
                <w:rFonts w:hint="eastAsia" w:ascii="Times New Roman" w:hAnsi="Times New Roman" w:cs="Times New Roman"/>
                <w:color w:val="auto"/>
                <w:lang w:val="en-US" w:eastAsia="zh-CN"/>
              </w:rPr>
              <w:t>等级）标准</w:t>
            </w:r>
            <w:r>
              <w:rPr>
                <w:rFonts w:hint="eastAsia" w:ascii="Times New Roman" w:hAnsi="Times New Roman" w:cs="Times New Roman"/>
                <w:color w:val="auto"/>
              </w:rPr>
              <w:t>后，排入</w:t>
            </w:r>
            <w:r>
              <w:rPr>
                <w:rFonts w:hint="eastAsia" w:ascii="Times New Roman" w:hAnsi="Times New Roman" w:cs="Times New Roman"/>
                <w:color w:val="auto"/>
                <w:lang w:val="en-US" w:eastAsia="zh-CN"/>
              </w:rPr>
              <w:t>姚安县</w:t>
            </w:r>
            <w:r>
              <w:rPr>
                <w:rFonts w:hint="eastAsia" w:ascii="Times New Roman" w:hAnsi="Times New Roman" w:cs="Times New Roman"/>
                <w:color w:val="auto"/>
              </w:rPr>
              <w:t>污水管网，最终进入</w:t>
            </w:r>
            <w:r>
              <w:rPr>
                <w:rFonts w:hint="eastAsia" w:ascii="Times New Roman" w:hAnsi="Times New Roman" w:cs="Times New Roman"/>
                <w:color w:val="auto"/>
                <w:lang w:val="en-US" w:eastAsia="zh-CN"/>
              </w:rPr>
              <w:t>姚安县</w:t>
            </w:r>
            <w:r>
              <w:rPr>
                <w:rFonts w:hint="eastAsia" w:ascii="Times New Roman" w:hAnsi="Times New Roman" w:cs="Times New Roman"/>
                <w:color w:val="auto"/>
              </w:rPr>
              <w:t>污水处理厂统一处理</w:t>
            </w:r>
            <w:r>
              <w:rPr>
                <w:rFonts w:hint="eastAsia" w:ascii="Times New Roman" w:hAnsi="Times New Roman"/>
                <w:color w:val="auto"/>
                <w:kern w:val="0"/>
              </w:rPr>
              <w:t>。</w:t>
            </w:r>
          </w:p>
          <w:p>
            <w:pPr>
              <w:spacing w:line="360" w:lineRule="auto"/>
              <w:ind w:left="0" w:leftChars="0" w:right="0" w:rightChars="0" w:firstLine="0" w:firstLineChars="0"/>
              <w:jc w:val="center"/>
              <w:rPr>
                <w:rFonts w:ascii="Times New Roman" w:hAnsi="Times New Roman"/>
                <w:color w:val="auto"/>
              </w:rPr>
            </w:pPr>
            <w:r>
              <w:rPr>
                <w:color w:val="auto"/>
              </w:rPr>
              <w:drawing>
                <wp:inline distT="0" distB="0" distL="114300" distR="114300">
                  <wp:extent cx="5458460" cy="3399155"/>
                  <wp:effectExtent l="0" t="0" r="381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7"/>
                          <a:stretch>
                            <a:fillRect/>
                          </a:stretch>
                        </pic:blipFill>
                        <pic:spPr>
                          <a:xfrm>
                            <a:off x="0" y="0"/>
                            <a:ext cx="5458460" cy="3399155"/>
                          </a:xfrm>
                          <a:prstGeom prst="rect">
                            <a:avLst/>
                          </a:prstGeom>
                          <a:noFill/>
                          <a:ln>
                            <a:noFill/>
                          </a:ln>
                        </pic:spPr>
                      </pic:pic>
                    </a:graphicData>
                  </a:graphic>
                </wp:inline>
              </w:drawing>
            </w: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 xml:space="preserve"> 4-2 </w:t>
            </w:r>
            <w:r>
              <w:rPr>
                <w:rFonts w:hint="default" w:ascii="Times New Roman" w:hAnsi="Times New Roman" w:cs="Times New Roman"/>
                <w:b/>
                <w:bCs/>
                <w:color w:val="auto"/>
                <w:sz w:val="21"/>
                <w:szCs w:val="21"/>
              </w:rPr>
              <w:t>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2"/>
                <w:szCs w:val="20"/>
                <w:lang w:val="en-US" w:eastAsia="zh-CN"/>
              </w:rPr>
            </w:pPr>
            <w:r>
              <w:rPr>
                <w:rFonts w:hint="default" w:ascii="Times New Roman" w:hAnsi="Times New Roman" w:eastAsia="宋体" w:cs="Times New Roman"/>
                <w:b/>
                <w:bCs/>
                <w:color w:val="auto"/>
                <w:kern w:val="2"/>
                <w:szCs w:val="20"/>
                <w:lang w:val="en-US" w:eastAsia="zh-CN"/>
              </w:rPr>
              <w:t>污水处理工艺简述：</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①</w:t>
            </w:r>
            <w:r>
              <w:rPr>
                <w:rFonts w:hint="default" w:ascii="Times New Roman" w:hAnsi="Times New Roman" w:eastAsia="宋体" w:cs="Times New Roman"/>
                <w:color w:val="auto"/>
                <w:kern w:val="2"/>
                <w:szCs w:val="20"/>
                <w:lang w:val="en-US" w:eastAsia="zh-CN"/>
              </w:rPr>
              <w:t>污水预处理：污水首先进入化粪池，使污水在此进行初步厌氧降解，化类池还起到可截留粗大悬浮物和漂浮物，厌氧消化，消毒灭菌的作用，为后续处理创造条件。化粪池出水设置格栅，截留去除悬浮物和其它大颗粒杂质，保证后续处理的高效运行。设置调节池均匀水质水量，保证处理负荷的稳定，为生化段创造条件。</w:t>
            </w:r>
            <w:r>
              <w:rPr>
                <w:rFonts w:hint="eastAsia" w:eastAsia="宋体" w:cs="Times New Roman"/>
                <w:color w:val="auto"/>
                <w:kern w:val="2"/>
                <w:szCs w:val="20"/>
                <w:lang w:val="en-US" w:eastAsia="zh-CN"/>
              </w:rPr>
              <w:t>根据《医院污水处理工程技术规范》（HJ2029-2013），污水在化粪池的水力停留时间按照8小时计算，本项目产生的废水为48.72m³/d，污水处理站每天运行8小时，本项目需建设有效容积为50m³的化粪池。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②</w:t>
            </w:r>
            <w:r>
              <w:rPr>
                <w:rFonts w:hint="default" w:ascii="Times New Roman" w:hAnsi="Times New Roman" w:eastAsia="宋体" w:cs="Times New Roman"/>
                <w:color w:val="auto"/>
                <w:kern w:val="2"/>
                <w:szCs w:val="20"/>
                <w:lang w:val="en-US" w:eastAsia="zh-CN"/>
              </w:rPr>
              <w:t>污水强化处理：强化处理即二级处理采用生物接触氧化法，好氧物接触氧化池及MBR膜分离处理，好氧活性污泥彻底去除污水中污染物，保证较高的活性污泥浓度。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③</w:t>
            </w:r>
            <w:r>
              <w:rPr>
                <w:rFonts w:hint="default" w:ascii="Times New Roman" w:hAnsi="Times New Roman" w:eastAsia="宋体" w:cs="Times New Roman"/>
                <w:color w:val="auto"/>
                <w:kern w:val="2"/>
                <w:szCs w:val="20"/>
                <w:lang w:val="en-US" w:eastAsia="zh-CN"/>
              </w:rPr>
              <w:t>污水后续处理：采用含氯消毒片（主要成分为三氯异氰尿酸）消毒法，杀灭病毒细菌，氧化有毒有害物，改善出水外观品质。</w:t>
            </w:r>
          </w:p>
          <w:p>
            <w:pPr>
              <w:ind w:firstLine="480"/>
              <w:jc w:val="both"/>
              <w:rPr>
                <w:rFonts w:hint="eastAsia" w:eastAsia="宋体" w:cs="Times New Roman"/>
                <w:bCs/>
                <w:color w:val="auto"/>
                <w:szCs w:val="24"/>
              </w:rPr>
            </w:pPr>
            <w:r>
              <w:rPr>
                <w:rFonts w:hint="eastAsia" w:ascii="Times New Roman" w:hAnsi="Times New Roman" w:eastAsia="宋体" w:cs="Times New Roman"/>
                <w:color w:val="auto"/>
                <w:kern w:val="2"/>
                <w:szCs w:val="20"/>
                <w:lang w:val="en-US" w:eastAsia="zh-CN"/>
              </w:rPr>
              <w:t>④</w:t>
            </w:r>
            <w:r>
              <w:rPr>
                <w:rFonts w:hint="default" w:ascii="Times New Roman" w:hAnsi="Times New Roman" w:eastAsia="宋体" w:cs="Times New Roman"/>
                <w:color w:val="auto"/>
                <w:kern w:val="2"/>
                <w:szCs w:val="20"/>
                <w:lang w:val="en-US" w:eastAsia="zh-CN"/>
              </w:rPr>
              <w:t>污泥处理：消化减量，灭菌，污泥外运集中处理，不造成二次污染，污泥量较少，处理成本较低。</w:t>
            </w:r>
          </w:p>
          <w:p>
            <w:pPr>
              <w:ind w:firstLine="480"/>
              <w:jc w:val="both"/>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本项目为</w:t>
            </w:r>
            <w:r>
              <w:rPr>
                <w:rFonts w:hint="eastAsia" w:ascii="Times New Roman" w:hAnsi="Times New Roman" w:eastAsia="宋体" w:cs="Times New Roman"/>
                <w:bCs/>
                <w:color w:val="auto"/>
                <w:szCs w:val="24"/>
                <w:lang w:eastAsia="zh-CN"/>
              </w:rPr>
              <w:t>妇婴</w:t>
            </w:r>
            <w:r>
              <w:rPr>
                <w:rFonts w:hint="default" w:ascii="Times New Roman" w:hAnsi="Times New Roman" w:eastAsia="宋体" w:cs="Times New Roman"/>
                <w:bCs/>
                <w:color w:val="auto"/>
                <w:szCs w:val="24"/>
                <w:lang w:val="en-US" w:eastAsia="zh-CN"/>
              </w:rPr>
              <w:t>医院</w:t>
            </w:r>
            <w:r>
              <w:rPr>
                <w:rFonts w:hint="default" w:ascii="Times New Roman" w:hAnsi="Times New Roman" w:eastAsia="宋体" w:cs="Times New Roman"/>
                <w:bCs/>
                <w:color w:val="auto"/>
                <w:szCs w:val="24"/>
              </w:rPr>
              <w:t>，污水水质情况参照</w:t>
            </w:r>
            <w:r>
              <w:rPr>
                <w:rFonts w:hint="default" w:ascii="Times New Roman" w:hAnsi="Times New Roman" w:cs="Times New Roman"/>
                <w:color w:val="auto"/>
              </w:rPr>
              <w:t>《医院污水处理工程技术规范》（HJ2029-2013）</w:t>
            </w:r>
            <w:r>
              <w:rPr>
                <w:rFonts w:hint="default" w:ascii="Times New Roman" w:hAnsi="Times New Roman" w:eastAsia="宋体" w:cs="Times New Roman"/>
                <w:bCs/>
                <w:color w:val="auto"/>
                <w:szCs w:val="24"/>
              </w:rPr>
              <w:t>，</w:t>
            </w:r>
            <w:r>
              <w:rPr>
                <w:rFonts w:hint="default" w:ascii="Times New Roman" w:hAnsi="Times New Roman" w:cs="Times New Roman"/>
                <w:color w:val="auto"/>
              </w:rPr>
              <w:t>现有</w:t>
            </w:r>
            <w:r>
              <w:rPr>
                <w:rFonts w:hint="default" w:ascii="Times New Roman" w:hAnsi="Times New Roman" w:eastAsia="宋体" w:cs="Times New Roman"/>
                <w:bCs/>
                <w:color w:val="auto"/>
                <w:szCs w:val="24"/>
              </w:rPr>
              <w:t>小型医院废水污染物浓度，具体如下。</w:t>
            </w:r>
          </w:p>
          <w:p>
            <w:pPr>
              <w:pStyle w:val="67"/>
              <w:spacing w:line="360" w:lineRule="auto"/>
              <w:rPr>
                <w:b/>
                <w:color w:val="auto"/>
                <w:kern w:val="2"/>
                <w:sz w:val="21"/>
                <w:szCs w:val="21"/>
              </w:rPr>
            </w:pPr>
            <w:r>
              <w:rPr>
                <w:rFonts w:hint="eastAsia"/>
                <w:b/>
                <w:color w:val="auto"/>
                <w:kern w:val="2"/>
                <w:sz w:val="21"/>
                <w:szCs w:val="21"/>
              </w:rPr>
              <w:t>表4-</w:t>
            </w:r>
            <w:r>
              <w:rPr>
                <w:rFonts w:hint="eastAsia"/>
                <w:b/>
                <w:color w:val="auto"/>
                <w:kern w:val="2"/>
                <w:sz w:val="21"/>
                <w:szCs w:val="21"/>
                <w:lang w:val="en-US" w:eastAsia="zh-CN"/>
              </w:rPr>
              <w:t>7</w:t>
            </w:r>
            <w:r>
              <w:rPr>
                <w:rFonts w:hint="eastAsia"/>
                <w:b/>
                <w:color w:val="auto"/>
                <w:kern w:val="2"/>
                <w:sz w:val="21"/>
                <w:szCs w:val="21"/>
              </w:rPr>
              <w:t xml:space="preserve"> 小型医院</w:t>
            </w:r>
            <w:r>
              <w:rPr>
                <w:rFonts w:hint="eastAsia"/>
                <w:b/>
                <w:bCs w:val="0"/>
                <w:color w:val="auto"/>
                <w:kern w:val="2"/>
                <w:sz w:val="21"/>
                <w:szCs w:val="21"/>
              </w:rPr>
              <w:t>废水污染物浓度</w:t>
            </w:r>
            <w:r>
              <w:rPr>
                <w:rFonts w:hint="eastAsia"/>
                <w:b/>
                <w:color w:val="auto"/>
                <w:kern w:val="2"/>
                <w:sz w:val="21"/>
                <w:szCs w:val="21"/>
              </w:rPr>
              <w:t>一览表</w:t>
            </w:r>
          </w:p>
          <w:tbl>
            <w:tblPr>
              <w:tblStyle w:val="38"/>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68"/>
              <w:gridCol w:w="2322"/>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序号</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污水浓度范围（mg/L）</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CODcr</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150~300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BOD</w:t>
                  </w:r>
                  <w:r>
                    <w:rPr>
                      <w:rFonts w:hint="default" w:ascii="Times New Roman" w:hAnsi="Times New Roman" w:cs="Times New Roman"/>
                      <w:bCs/>
                      <w:color w:val="auto"/>
                      <w:kern w:val="2"/>
                      <w:sz w:val="21"/>
                      <w:szCs w:val="21"/>
                      <w:vertAlign w:val="subscript"/>
                    </w:rPr>
                    <w:t>5</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80~150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SS</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40~120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氨氮</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10~50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粪大肠菌群</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1.0×10</w:t>
                  </w:r>
                  <w:r>
                    <w:rPr>
                      <w:rFonts w:hint="default" w:ascii="Times New Roman" w:hAnsi="Times New Roman" w:cs="Times New Roman"/>
                      <w:bCs/>
                      <w:color w:val="auto"/>
                      <w:kern w:val="2"/>
                      <w:sz w:val="21"/>
                      <w:szCs w:val="21"/>
                      <w:vertAlign w:val="superscript"/>
                    </w:rPr>
                    <w:t>6</w:t>
                  </w:r>
                  <w:r>
                    <w:rPr>
                      <w:rFonts w:hint="default" w:ascii="Times New Roman" w:hAnsi="Times New Roman" w:cs="Times New Roman"/>
                      <w:bCs/>
                      <w:color w:val="auto"/>
                      <w:kern w:val="2"/>
                      <w:sz w:val="21"/>
                      <w:szCs w:val="21"/>
                    </w:rPr>
                    <w:t>~3.0×10</w:t>
                  </w:r>
                  <w:r>
                    <w:rPr>
                      <w:rFonts w:hint="default" w:ascii="Times New Roman" w:hAnsi="Times New Roman" w:cs="Times New Roman"/>
                      <w:bCs/>
                      <w:color w:val="auto"/>
                      <w:kern w:val="2"/>
                      <w:sz w:val="21"/>
                      <w:szCs w:val="21"/>
                      <w:vertAlign w:val="superscript"/>
                    </w:rPr>
                    <w:t>8</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1.6×10</w:t>
                  </w:r>
                  <w:r>
                    <w:rPr>
                      <w:rFonts w:hint="default" w:ascii="Times New Roman" w:hAnsi="Times New Roman" w:cs="Times New Roman"/>
                      <w:bCs/>
                      <w:color w:val="auto"/>
                      <w:kern w:val="2"/>
                      <w:sz w:val="21"/>
                      <w:szCs w:val="21"/>
                      <w:vertAlign w:val="superscript"/>
                    </w:rPr>
                    <w:t>8</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lang w:eastAsia="zh-CN"/>
              </w:rPr>
            </w:pPr>
            <w:r>
              <w:rPr>
                <w:rFonts w:hint="default" w:ascii="Times New Roman" w:hAnsi="Times New Roman" w:cs="Times New Roman" w:eastAsiaTheme="minorEastAsia"/>
                <w:color w:val="auto"/>
              </w:rPr>
              <w:t>本项目废水处理工艺，采用《医院污水处理工程技术规范》（HJ2029-2013）</w:t>
            </w:r>
            <w:r>
              <w:rPr>
                <w:rFonts w:hint="default" w:ascii="Times New Roman" w:hAnsi="Times New Roman" w:cs="Times New Roman" w:eastAsiaTheme="minorEastAsia"/>
                <w:color w:val="auto"/>
                <w:lang w:eastAsia="zh-CN"/>
              </w:rPr>
              <w:t>推荐的</w:t>
            </w:r>
            <w:r>
              <w:rPr>
                <w:rFonts w:hint="default" w:ascii="Times New Roman" w:hAnsi="Times New Roman" w:cs="Times New Roman" w:eastAsiaTheme="minorEastAsia"/>
                <w:color w:val="auto"/>
              </w:rPr>
              <w:t>“生物接触氧化池+MBR反应池+消毒”工艺，污水处理站处理规模为</w:t>
            </w:r>
            <w:r>
              <w:rPr>
                <w:rFonts w:hint="default" w:ascii="Times New Roman" w:hAnsi="Times New Roman" w:cs="Times New Roman" w:eastAsiaTheme="minorEastAsia"/>
                <w:color w:val="auto"/>
                <w:lang w:val="en-US" w:eastAsia="zh-CN"/>
              </w:rPr>
              <w:t>60</w:t>
            </w:r>
            <w:r>
              <w:rPr>
                <w:rFonts w:hint="default" w:ascii="Times New Roman" w:hAnsi="Times New Roman" w:cs="Times New Roman" w:eastAsiaTheme="minorEastAsia"/>
                <w:color w:val="auto"/>
              </w:rPr>
              <w:t>m³/d</w:t>
            </w:r>
            <w:r>
              <w:rPr>
                <w:rFonts w:hint="default" w:ascii="Times New Roman" w:hAnsi="Times New Roman" w:cs="Times New Roman" w:eastAsiaTheme="minorEastAsia"/>
                <w:color w:val="auto"/>
                <w:lang w:eastAsia="zh-CN"/>
              </w:rPr>
              <w:t>。类比《姚安县人民医院感染性疾病科综合楼建设项目竣工环境保护验收监测表》</w:t>
            </w:r>
            <w:r>
              <w:rPr>
                <w:rFonts w:hint="eastAsia" w:ascii="Times New Roman" w:hAnsi="Times New Roman" w:cs="Times New Roman"/>
                <w:color w:val="auto"/>
                <w:lang w:eastAsia="zh-CN"/>
              </w:rPr>
              <w:t>（检测报告详见附件</w:t>
            </w:r>
            <w:r>
              <w:rPr>
                <w:rFonts w:hint="eastAsia" w:ascii="Times New Roman" w:hAnsi="Times New Roman" w:cs="Times New Roman"/>
                <w:color w:val="auto"/>
                <w:lang w:val="en-US" w:eastAsia="zh-CN"/>
              </w:rPr>
              <w:t>7</w:t>
            </w:r>
            <w:r>
              <w:rPr>
                <w:rFonts w:hint="eastAsia" w:ascii="Times New Roman" w:hAnsi="Times New Roman" w:cs="Times New Roman"/>
                <w:color w:val="auto"/>
                <w:lang w:eastAsia="zh-CN"/>
              </w:rPr>
              <w:t>）</w:t>
            </w:r>
            <w:r>
              <w:rPr>
                <w:rFonts w:hint="default" w:ascii="Times New Roman" w:hAnsi="Times New Roman" w:cs="Times New Roman" w:eastAsiaTheme="minorEastAsia"/>
                <w:color w:val="auto"/>
                <w:lang w:eastAsia="zh-CN"/>
              </w:rPr>
              <w:t>，姚安县第一人民医院采用的污水处理工艺和本项目相同，污水经处理后，可达到《医疗机构水污染物排放标准》GB18466-2005表2中排放标准。故本项目污水处理站采用《医院污水处理工程技术规范》（HJ2029-2013）推荐的“生物接触氧化池+MBR反应池+消毒”工艺，污染物</w:t>
            </w:r>
            <w:r>
              <w:rPr>
                <w:rFonts w:hint="default" w:ascii="Times New Roman" w:hAnsi="Times New Roman" w:cs="Times New Roman" w:eastAsiaTheme="minorEastAsia"/>
                <w:color w:val="auto"/>
              </w:rPr>
              <w:t>可达到《医疗机构水污染物排放标准》GB18466-2005表2中排放标准</w:t>
            </w:r>
            <w:r>
              <w:rPr>
                <w:rFonts w:hint="default" w:ascii="Times New Roman" w:hAnsi="Times New Roman" w:cs="Times New Roman" w:eastAsiaTheme="minorEastAsia"/>
                <w:color w:val="auto"/>
                <w:lang w:val="en-US" w:eastAsia="zh-CN"/>
              </w:rPr>
              <w:t>及《污水排入城镇下水道水质标准》（GB/T31962-2015）表1（B等级）标准</w:t>
            </w:r>
            <w:r>
              <w:rPr>
                <w:rFonts w:hint="default" w:ascii="Times New Roman" w:hAnsi="Times New Roman" w:cs="Times New Roman" w:eastAsiaTheme="minorEastAsia"/>
                <w:color w:val="auto"/>
              </w:rPr>
              <w:t>，处理前后废水浓度和污染物产排情况见下表</w:t>
            </w:r>
            <w:r>
              <w:rPr>
                <w:rFonts w:hint="default" w:ascii="Times New Roman" w:hAnsi="Times New Roman" w:cs="Times New Roman" w:eastAsiaTheme="minorEastAsia"/>
                <w:color w:val="auto"/>
                <w:lang w:eastAsia="zh-CN"/>
              </w:rPr>
              <w:t>：</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表4-</w:t>
            </w:r>
            <w:r>
              <w:rPr>
                <w:rFonts w:hint="eastAsia" w:cs="Times New Roman"/>
                <w:b/>
                <w:bCs/>
                <w:color w:val="auto"/>
                <w:kern w:val="2"/>
                <w:sz w:val="21"/>
                <w:szCs w:val="21"/>
                <w:lang w:val="en-US" w:eastAsia="zh-CN"/>
              </w:rPr>
              <w:t>8</w:t>
            </w:r>
            <w:r>
              <w:rPr>
                <w:rFonts w:hint="default" w:ascii="Times New Roman" w:hAnsi="Times New Roman" w:cs="Times New Roman"/>
                <w:b/>
                <w:bCs/>
                <w:color w:val="auto"/>
                <w:kern w:val="2"/>
                <w:sz w:val="21"/>
                <w:szCs w:val="21"/>
              </w:rPr>
              <w:t xml:space="preserve"> 本项目水污染物产生和排放情况</w:t>
            </w:r>
          </w:p>
          <w:tbl>
            <w:tblPr>
              <w:tblStyle w:val="37"/>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500"/>
              <w:gridCol w:w="1240"/>
              <w:gridCol w:w="1080"/>
              <w:gridCol w:w="108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60" w:type="dxa"/>
                  <w:gridSpan w:val="2"/>
                  <w:tcBorders>
                    <w:tl2br w:val="nil"/>
                    <w:tr2bl w:val="nil"/>
                  </w:tcBorders>
                  <w:shd w:val="clear" w:color="auto" w:fill="auto"/>
                  <w:vAlign w:val="center"/>
                </w:tcPr>
                <w:p>
                  <w:pPr>
                    <w:widowControl/>
                    <w:spacing w:line="360" w:lineRule="auto"/>
                    <w:ind w:firstLine="42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污染指标</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COD</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BOD</w:t>
                  </w:r>
                  <w:r>
                    <w:rPr>
                      <w:rFonts w:eastAsia="宋体" w:cs="Times New Roman"/>
                      <w:color w:val="auto"/>
                      <w:kern w:val="0"/>
                      <w:sz w:val="21"/>
                      <w:szCs w:val="21"/>
                      <w:vertAlign w:val="subscript"/>
                    </w:rPr>
                    <w:t>5</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SS</w:t>
                  </w:r>
                </w:p>
              </w:tc>
              <w:tc>
                <w:tcPr>
                  <w:tcW w:w="1080" w:type="dxa"/>
                  <w:tcBorders>
                    <w:tl2br w:val="nil"/>
                    <w:tr2bl w:val="nil"/>
                  </w:tcBorders>
                  <w:shd w:val="clear" w:color="auto" w:fill="auto"/>
                  <w:vAlign w:val="center"/>
                </w:tcPr>
                <w:p>
                  <w:pPr>
                    <w:widowControl/>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氨氮</w:t>
                  </w:r>
                </w:p>
              </w:tc>
              <w:tc>
                <w:tcPr>
                  <w:tcW w:w="1410" w:type="dxa"/>
                  <w:tcBorders>
                    <w:tl2br w:val="nil"/>
                    <w:tr2bl w:val="nil"/>
                  </w:tcBorders>
                  <w:shd w:val="clear" w:color="auto" w:fill="auto"/>
                  <w:vAlign w:val="center"/>
                </w:tcPr>
                <w:p>
                  <w:pPr>
                    <w:widowControl/>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80" w:type="dxa"/>
                  <w:vMerge w:val="restart"/>
                  <w:tcBorders>
                    <w:tl2br w:val="nil"/>
                    <w:tr2bl w:val="nil"/>
                  </w:tcBorders>
                  <w:shd w:val="clear" w:color="auto" w:fill="auto"/>
                  <w:vAlign w:val="center"/>
                </w:tcPr>
                <w:p>
                  <w:pPr>
                    <w:widowControl/>
                    <w:spacing w:line="36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产生量</w:t>
                  </w:r>
                </w:p>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17782.8</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mg/L</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250</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80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30</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1.0×10</w:t>
                  </w:r>
                  <w:r>
                    <w:rPr>
                      <w:rFonts w:eastAsia="宋体" w:cs="Times New Roman"/>
                      <w:color w:val="auto"/>
                      <w:kern w:val="0"/>
                      <w:sz w:val="21"/>
                      <w:szCs w:val="21"/>
                      <w:vertAlign w:val="superscript"/>
                    </w:rPr>
                    <w:t>7</w:t>
                  </w:r>
                  <w:r>
                    <w:rPr>
                      <w:rFonts w:hint="eastAsia" w:ascii="宋体" w:hAnsi="宋体" w:eastAsia="宋体" w:cs="Times New Roman"/>
                      <w:color w:val="auto"/>
                      <w:kern w:val="0"/>
                      <w:sz w:val="21"/>
                      <w:szCs w:val="21"/>
                    </w:rPr>
                    <w:t>个</w:t>
                  </w:r>
                  <w:r>
                    <w:rPr>
                      <w:rFonts w:eastAsia="宋体" w:cs="Times New Roman"/>
                      <w:color w:val="auto"/>
                      <w:kern w:val="0"/>
                      <w:sz w:val="21"/>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continue"/>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t/a</w:t>
                  </w:r>
                </w:p>
              </w:tc>
              <w:tc>
                <w:tcPr>
                  <w:tcW w:w="150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4.44</w:t>
                  </w:r>
                </w:p>
              </w:tc>
              <w:tc>
                <w:tcPr>
                  <w:tcW w:w="124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rPr>
                  </w:pPr>
                  <w:r>
                    <w:rPr>
                      <w:rFonts w:hint="eastAsia" w:eastAsia="宋体" w:cs="Times New Roman"/>
                      <w:color w:val="auto"/>
                      <w:kern w:val="0"/>
                      <w:sz w:val="21"/>
                      <w:szCs w:val="21"/>
                      <w:lang w:val="en-US" w:eastAsia="zh-CN"/>
                    </w:rPr>
                    <w:t>1.77</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1.42</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0.53</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restart"/>
                  <w:tcBorders>
                    <w:tl2br w:val="nil"/>
                    <w:tr2bl w:val="nil"/>
                  </w:tcBorders>
                  <w:shd w:val="clear" w:color="auto" w:fill="auto"/>
                  <w:vAlign w:val="center"/>
                </w:tcPr>
                <w:p>
                  <w:pPr>
                    <w:widowControl/>
                    <w:spacing w:line="36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排放量</w:t>
                  </w:r>
                </w:p>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17782.8</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mg/L</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60</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15</w:t>
                  </w:r>
                </w:p>
              </w:tc>
              <w:tc>
                <w:tcPr>
                  <w:tcW w:w="1410" w:type="dxa"/>
                  <w:tcBorders>
                    <w:tl2br w:val="nil"/>
                    <w:tr2bl w:val="nil"/>
                  </w:tcBorders>
                  <w:shd w:val="clear" w:color="auto" w:fill="auto"/>
                  <w:vAlign w:val="center"/>
                </w:tcPr>
                <w:p>
                  <w:pPr>
                    <w:widowControl/>
                    <w:spacing w:line="36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continue"/>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t/a</w:t>
                  </w:r>
                </w:p>
              </w:tc>
              <w:tc>
                <w:tcPr>
                  <w:tcW w:w="150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1.06</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lang w:val="en-US" w:eastAsia="zh-CN"/>
                    </w:rPr>
                    <w:t>0.35</w:t>
                  </w:r>
                  <w:r>
                    <w:rPr>
                      <w:rFonts w:eastAsia="宋体" w:cs="Times New Roman"/>
                      <w:color w:val="auto"/>
                      <w:kern w:val="0"/>
                      <w:sz w:val="21"/>
                      <w:szCs w:val="21"/>
                    </w:rPr>
                    <w:t xml:space="preserve"> </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0.35</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0.26</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w:t>
                  </w:r>
                </w:p>
              </w:tc>
            </w:tr>
          </w:tbl>
          <w:p>
            <w:pPr>
              <w:pStyle w:val="67"/>
              <w:spacing w:line="360" w:lineRule="auto"/>
              <w:rPr>
                <w:rFonts w:hint="eastAsia" w:eastAsia="宋体"/>
                <w:color w:val="auto"/>
                <w:sz w:val="21"/>
                <w:szCs w:val="21"/>
                <w:lang w:eastAsia="zh-CN"/>
              </w:rPr>
            </w:pPr>
            <w:r>
              <w:rPr>
                <w:rFonts w:hint="eastAsia"/>
                <w:color w:val="auto"/>
                <w:sz w:val="21"/>
                <w:szCs w:val="21"/>
              </w:rPr>
              <w:t>表4-</w:t>
            </w:r>
            <w:r>
              <w:rPr>
                <w:rFonts w:hint="eastAsia"/>
                <w:color w:val="auto"/>
                <w:sz w:val="21"/>
                <w:szCs w:val="21"/>
                <w:lang w:val="en-US" w:eastAsia="zh-CN"/>
              </w:rPr>
              <w:t>9</w:t>
            </w:r>
            <w:r>
              <w:rPr>
                <w:rFonts w:hint="eastAsia"/>
                <w:color w:val="auto"/>
                <w:sz w:val="21"/>
                <w:szCs w:val="21"/>
              </w:rPr>
              <w:t xml:space="preserve"> 项目废水排放方式、去向、规律基本情况</w:t>
            </w:r>
          </w:p>
          <w:tbl>
            <w:tblPr>
              <w:tblStyle w:val="38"/>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16"/>
              <w:gridCol w:w="1008"/>
              <w:gridCol w:w="636"/>
              <w:gridCol w:w="426"/>
              <w:gridCol w:w="858"/>
              <w:gridCol w:w="808"/>
              <w:gridCol w:w="974"/>
              <w:gridCol w:w="881"/>
              <w:gridCol w:w="67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序号</w:t>
                  </w:r>
                </w:p>
              </w:tc>
              <w:tc>
                <w:tcPr>
                  <w:tcW w:w="71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废水类别</w:t>
                  </w:r>
                </w:p>
              </w:tc>
              <w:tc>
                <w:tcPr>
                  <w:tcW w:w="1008"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污染物种类</w:t>
                  </w:r>
                </w:p>
              </w:tc>
              <w:tc>
                <w:tcPr>
                  <w:tcW w:w="63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排放去向</w:t>
                  </w:r>
                </w:p>
              </w:tc>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排放规律</w:t>
                  </w:r>
                </w:p>
              </w:tc>
              <w:tc>
                <w:tcPr>
                  <w:tcW w:w="2640" w:type="dxa"/>
                  <w:gridSpan w:val="3"/>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污染物治理设施</w:t>
                  </w:r>
                </w:p>
              </w:tc>
              <w:tc>
                <w:tcPr>
                  <w:tcW w:w="881"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排放口编号</w:t>
                  </w:r>
                </w:p>
              </w:tc>
              <w:tc>
                <w:tcPr>
                  <w:tcW w:w="675"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排放口是否符合要求</w:t>
                  </w:r>
                </w:p>
              </w:tc>
              <w:tc>
                <w:tcPr>
                  <w:tcW w:w="1094"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71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08"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3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污染治理设施编号</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污染治理设施名称</w:t>
                  </w:r>
                </w:p>
              </w:tc>
              <w:tc>
                <w:tcPr>
                  <w:tcW w:w="974"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污染治理设施工艺</w:t>
                  </w:r>
                </w:p>
              </w:tc>
              <w:tc>
                <w:tcPr>
                  <w:tcW w:w="881"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75"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94"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426" w:type="dxa"/>
                  <w:vMerge w:val="restart"/>
                  <w:vAlign w:val="center"/>
                </w:tcPr>
                <w:p>
                  <w:pPr>
                    <w:autoSpaceDE w:val="0"/>
                    <w:autoSpaceDN w:val="0"/>
                    <w:adjustRightInd w:val="0"/>
                    <w:snapToGrid w:val="0"/>
                    <w:spacing w:line="240" w:lineRule="auto"/>
                    <w:ind w:firstLine="0" w:firstLineChars="0"/>
                    <w:jc w:val="center"/>
                    <w:rPr>
                      <w:rFonts w:hint="eastAsia" w:eastAsia="宋体" w:cs="Times New Roman"/>
                      <w:color w:val="auto"/>
                      <w:kern w:val="0"/>
                      <w:sz w:val="21"/>
                      <w:szCs w:val="21"/>
                      <w:lang w:eastAsia="zh-CN"/>
                    </w:rPr>
                  </w:pPr>
                  <w:r>
                    <w:rPr>
                      <w:rFonts w:eastAsia="宋体" w:cs="Times New Roman"/>
                      <w:color w:val="auto"/>
                      <w:kern w:val="0"/>
                      <w:sz w:val="21"/>
                      <w:szCs w:val="21"/>
                    </w:rPr>
                    <w:t>1</w:t>
                  </w:r>
                  <w:r>
                    <w:rPr>
                      <w:rFonts w:hint="eastAsia" w:eastAsia="宋体" w:cs="Times New Roman"/>
                      <w:color w:val="auto"/>
                      <w:kern w:val="0"/>
                      <w:sz w:val="21"/>
                      <w:szCs w:val="21"/>
                      <w:lang w:eastAsia="zh-CN"/>
                    </w:rPr>
                    <w:t>、</w:t>
                  </w:r>
                </w:p>
              </w:tc>
              <w:tc>
                <w:tcPr>
                  <w:tcW w:w="71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综合废水</w:t>
                  </w:r>
                </w:p>
              </w:tc>
              <w:tc>
                <w:tcPr>
                  <w:tcW w:w="1008" w:type="dxa"/>
                  <w:vMerge w:val="restart"/>
                  <w:vAlign w:val="center"/>
                </w:tcPr>
                <w:p>
                  <w:pPr>
                    <w:autoSpaceDE w:val="0"/>
                    <w:autoSpaceDN w:val="0"/>
                    <w:adjustRightInd w:val="0"/>
                    <w:snapToGrid w:val="0"/>
                    <w:spacing w:line="240" w:lineRule="auto"/>
                    <w:ind w:firstLine="0" w:firstLineChars="0"/>
                    <w:jc w:val="both"/>
                    <w:rPr>
                      <w:rFonts w:eastAsia="宋体" w:cs="Times New Roman"/>
                      <w:color w:val="auto"/>
                      <w:kern w:val="0"/>
                      <w:sz w:val="21"/>
                      <w:szCs w:val="21"/>
                    </w:rPr>
                  </w:pPr>
                  <w:r>
                    <w:rPr>
                      <w:rFonts w:ascii="Times New Roman" w:hAnsi="Times New Roman" w:cs="Times New Roman"/>
                      <w:color w:val="auto"/>
                      <w:sz w:val="21"/>
                      <w:szCs w:val="21"/>
                    </w:rPr>
                    <w:t>pH值、BOD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w:t>
                  </w:r>
                  <w:r>
                    <w:rPr>
                      <w:rFonts w:hint="eastAsia" w:ascii="Times New Roman" w:hAnsi="Times New Roman" w:cs="Times New Roman"/>
                      <w:color w:val="auto"/>
                      <w:sz w:val="21"/>
                      <w:szCs w:val="21"/>
                    </w:rPr>
                    <w:t>C</w:t>
                  </w:r>
                  <w:r>
                    <w:rPr>
                      <w:rFonts w:ascii="Times New Roman" w:hAnsi="Times New Roman" w:cs="Times New Roman"/>
                      <w:color w:val="auto"/>
                      <w:sz w:val="21"/>
                      <w:szCs w:val="21"/>
                    </w:rPr>
                    <w:t>OD、</w:t>
                  </w:r>
                  <w:r>
                    <w:rPr>
                      <w:rFonts w:hint="eastAsia" w:ascii="Times New Roman" w:hAnsi="Times New Roman" w:cs="Times New Roman"/>
                      <w:color w:val="auto"/>
                      <w:sz w:val="21"/>
                      <w:szCs w:val="21"/>
                    </w:rPr>
                    <w:t>悬浮物（SS）</w:t>
                  </w:r>
                  <w:r>
                    <w:rPr>
                      <w:rFonts w:ascii="Times New Roman" w:hAnsi="Times New Roman" w:cs="Times New Roman"/>
                      <w:color w:val="auto"/>
                      <w:sz w:val="21"/>
                      <w:szCs w:val="21"/>
                    </w:rPr>
                    <w:t>、</w:t>
                  </w:r>
                  <w:r>
                    <w:rPr>
                      <w:rFonts w:hint="eastAsia" w:ascii="Times New Roman" w:hAnsi="Times New Roman" w:cs="Times New Roman"/>
                      <w:color w:val="auto"/>
                      <w:sz w:val="21"/>
                      <w:szCs w:val="21"/>
                    </w:rPr>
                    <w:t>氨氮</w:t>
                  </w:r>
                  <w:r>
                    <w:rPr>
                      <w:rFonts w:ascii="Times New Roman" w:hAnsi="Times New Roman" w:cs="Times New Roman"/>
                      <w:color w:val="auto"/>
                      <w:sz w:val="21"/>
                      <w:szCs w:val="21"/>
                    </w:rPr>
                    <w:t>、</w:t>
                  </w:r>
                  <w:r>
                    <w:rPr>
                      <w:rFonts w:hint="eastAsia" w:ascii="Times New Roman" w:hAnsi="Times New Roman" w:cs="Times New Roman"/>
                      <w:color w:val="auto"/>
                      <w:sz w:val="21"/>
                      <w:szCs w:val="21"/>
                    </w:rPr>
                    <w:t>动植物油、石油、</w:t>
                  </w:r>
                  <w:r>
                    <w:rPr>
                      <w:rFonts w:ascii="Times New Roman" w:hAnsi="Times New Roman" w:cs="Times New Roman"/>
                      <w:color w:val="auto"/>
                      <w:sz w:val="21"/>
                      <w:szCs w:val="21"/>
                    </w:rPr>
                    <w:t>阴离子表面活性剂、</w:t>
                  </w:r>
                  <w:r>
                    <w:rPr>
                      <w:rFonts w:hint="eastAsia" w:cs="Times New Roman"/>
                      <w:color w:val="auto"/>
                      <w:sz w:val="21"/>
                      <w:szCs w:val="21"/>
                      <w:lang w:eastAsia="zh-CN"/>
                    </w:rPr>
                    <w:t>粪</w:t>
                  </w:r>
                  <w:r>
                    <w:rPr>
                      <w:rFonts w:ascii="Times New Roman" w:hAnsi="Times New Roman" w:cs="Times New Roman"/>
                      <w:color w:val="auto"/>
                      <w:sz w:val="21"/>
                      <w:szCs w:val="21"/>
                    </w:rPr>
                    <w:t>大肠菌群</w:t>
                  </w:r>
                  <w:r>
                    <w:rPr>
                      <w:rFonts w:hint="eastAsia" w:ascii="Times New Roman" w:hAnsi="Times New Roman" w:cs="Times New Roman"/>
                      <w:color w:val="auto"/>
                      <w:sz w:val="21"/>
                      <w:szCs w:val="21"/>
                      <w:lang w:eastAsia="zh-CN"/>
                    </w:rPr>
                    <w:t>、六价铬、总铬、总镉、总砷、总汞、</w:t>
                  </w:r>
                  <w:r>
                    <w:rPr>
                      <w:rFonts w:hint="eastAsia" w:cs="Times New Roman"/>
                      <w:color w:val="auto"/>
                      <w:sz w:val="21"/>
                      <w:szCs w:val="21"/>
                      <w:lang w:eastAsia="zh-CN"/>
                    </w:rPr>
                    <w:t>总银、总铅、总氰化物、挥发酚、总余氯</w:t>
                  </w:r>
                  <w:r>
                    <w:rPr>
                      <w:color w:val="auto"/>
                      <w:sz w:val="21"/>
                      <w:szCs w:val="21"/>
                    </w:rPr>
                    <w:t>。</w:t>
                  </w:r>
                </w:p>
              </w:tc>
              <w:tc>
                <w:tcPr>
                  <w:tcW w:w="63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进入城镇污水处理厂</w:t>
                  </w:r>
                </w:p>
              </w:tc>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间歇排放</w:t>
                  </w: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TW001</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化粪池</w:t>
                  </w:r>
                </w:p>
              </w:tc>
              <w:tc>
                <w:tcPr>
                  <w:tcW w:w="974"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沉淀</w:t>
                  </w:r>
                </w:p>
              </w:tc>
              <w:tc>
                <w:tcPr>
                  <w:tcW w:w="881"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DW001</w:t>
                  </w:r>
                </w:p>
              </w:tc>
              <w:tc>
                <w:tcPr>
                  <w:tcW w:w="675"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sym w:font="Wingdings" w:char="00FE"/>
                  </w:r>
                  <w:r>
                    <w:rPr>
                      <w:rFonts w:eastAsia="宋体" w:cs="Times New Roman"/>
                      <w:color w:val="auto"/>
                      <w:kern w:val="0"/>
                      <w:sz w:val="21"/>
                      <w:szCs w:val="21"/>
                    </w:rPr>
                    <w:t xml:space="preserve"> 是</w:t>
                  </w:r>
                </w:p>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否</w:t>
                  </w:r>
                </w:p>
              </w:tc>
              <w:tc>
                <w:tcPr>
                  <w:tcW w:w="1094" w:type="dxa"/>
                  <w:vMerge w:val="restart"/>
                  <w:vAlign w:val="center"/>
                </w:tcPr>
                <w:p>
                  <w:pPr>
                    <w:pStyle w:val="146"/>
                    <w:rPr>
                      <w:color w:val="auto"/>
                    </w:rPr>
                  </w:pPr>
                  <w:r>
                    <w:rPr>
                      <w:color w:val="auto"/>
                    </w:rPr>
                    <w:sym w:font="Wingdings" w:char="00FE"/>
                  </w:r>
                  <w:r>
                    <w:rPr>
                      <w:color w:val="auto"/>
                    </w:rPr>
                    <w:t xml:space="preserve"> 企业总排</w:t>
                  </w:r>
                  <w:r>
                    <w:rPr>
                      <w:rFonts w:hint="eastAsia"/>
                      <w:color w:val="auto"/>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雨水排放</w:t>
                  </w:r>
                  <w:r>
                    <w:rPr>
                      <w:rFonts w:hint="eastAsia" w:eastAsia="宋体" w:cs="Times New Roman"/>
                      <w:color w:val="auto"/>
                      <w:kern w:val="0"/>
                      <w:sz w:val="21"/>
                      <w:szCs w:val="21"/>
                    </w:rPr>
                    <w:t>口</w:t>
                  </w:r>
                </w:p>
                <w:p>
                  <w:pPr>
                    <w:pStyle w:val="146"/>
                    <w:rPr>
                      <w:color w:val="auto"/>
                    </w:rPr>
                  </w:pPr>
                  <w:r>
                    <w:rPr>
                      <w:color w:val="auto"/>
                    </w:rPr>
                    <w:sym w:font="Wingdings" w:char="00A8"/>
                  </w:r>
                  <w:r>
                    <w:rPr>
                      <w:color w:val="auto"/>
                    </w:rPr>
                    <w:t xml:space="preserve"> 清净下水排放</w:t>
                  </w:r>
                  <w:r>
                    <w:rPr>
                      <w:rFonts w:hint="eastAsia"/>
                      <w:color w:val="auto"/>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温排水排放</w:t>
                  </w:r>
                  <w:r>
                    <w:rPr>
                      <w:rFonts w:hint="eastAsia" w:eastAsia="宋体" w:cs="Times New Roman"/>
                      <w:color w:val="auto"/>
                      <w:kern w:val="0"/>
                      <w:sz w:val="21"/>
                      <w:szCs w:val="21"/>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71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08"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3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TW002</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一体化污水处理站</w:t>
                  </w:r>
                </w:p>
              </w:tc>
              <w:tc>
                <w:tcPr>
                  <w:tcW w:w="974" w:type="dxa"/>
                  <w:vAlign w:val="center"/>
                </w:tcPr>
                <w:p>
                  <w:pPr>
                    <w:autoSpaceDE w:val="0"/>
                    <w:autoSpaceDN w:val="0"/>
                    <w:adjustRightInd w:val="0"/>
                    <w:snapToGrid w:val="0"/>
                    <w:spacing w:line="360" w:lineRule="auto"/>
                    <w:ind w:firstLine="0" w:firstLineChars="0"/>
                    <w:jc w:val="both"/>
                    <w:rPr>
                      <w:rFonts w:eastAsia="宋体" w:cs="Times New Roman"/>
                      <w:color w:val="auto"/>
                      <w:kern w:val="0"/>
                      <w:sz w:val="21"/>
                      <w:szCs w:val="21"/>
                    </w:rPr>
                  </w:pPr>
                  <w:r>
                    <w:rPr>
                      <w:rFonts w:hint="eastAsia" w:eastAsia="宋体" w:cs="Times New Roman"/>
                      <w:color w:val="auto"/>
                      <w:kern w:val="0"/>
                      <w:sz w:val="21"/>
                      <w:szCs w:val="21"/>
                    </w:rPr>
                    <w:t>生物接触氧化+MBR反应池+消毒</w:t>
                  </w:r>
                </w:p>
              </w:tc>
              <w:tc>
                <w:tcPr>
                  <w:tcW w:w="881"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75"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94" w:type="dxa"/>
                  <w:vMerge w:val="continue"/>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p>
              </w:tc>
            </w:tr>
          </w:tbl>
          <w:p>
            <w:pPr>
              <w:pStyle w:val="67"/>
              <w:rPr>
                <w:color w:val="auto"/>
                <w:sz w:val="21"/>
                <w:szCs w:val="21"/>
              </w:rPr>
            </w:pPr>
            <w:r>
              <w:rPr>
                <w:rFonts w:hint="eastAsia"/>
                <w:color w:val="auto"/>
                <w:sz w:val="21"/>
                <w:szCs w:val="21"/>
              </w:rPr>
              <w:t>表4-</w:t>
            </w:r>
            <w:r>
              <w:rPr>
                <w:rFonts w:hint="eastAsia"/>
                <w:color w:val="auto"/>
                <w:sz w:val="21"/>
                <w:szCs w:val="21"/>
                <w:lang w:val="en-US" w:eastAsia="zh-CN"/>
              </w:rPr>
              <w:t>10</w:t>
            </w:r>
            <w:r>
              <w:rPr>
                <w:rFonts w:hint="eastAsia"/>
                <w:color w:val="auto"/>
                <w:sz w:val="21"/>
                <w:szCs w:val="21"/>
              </w:rPr>
              <w:t xml:space="preserve"> 项目废水排放基本情况表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954"/>
              <w:gridCol w:w="986"/>
              <w:gridCol w:w="893"/>
              <w:gridCol w:w="818"/>
              <w:gridCol w:w="473"/>
              <w:gridCol w:w="979"/>
              <w:gridCol w:w="541"/>
              <w:gridCol w:w="966"/>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pPr>
                    <w:pStyle w:val="54"/>
                    <w:rPr>
                      <w:color w:val="auto"/>
                    </w:rPr>
                  </w:pPr>
                  <w:r>
                    <w:rPr>
                      <w:rFonts w:hint="eastAsia"/>
                      <w:color w:val="auto"/>
                    </w:rPr>
                    <w:t>序号</w:t>
                  </w:r>
                </w:p>
              </w:tc>
              <w:tc>
                <w:tcPr>
                  <w:tcW w:w="564" w:type="pct"/>
                  <w:vMerge w:val="restart"/>
                  <w:vAlign w:val="center"/>
                </w:tcPr>
                <w:p>
                  <w:pPr>
                    <w:pStyle w:val="54"/>
                    <w:rPr>
                      <w:color w:val="auto"/>
                    </w:rPr>
                  </w:pPr>
                  <w:r>
                    <w:rPr>
                      <w:rFonts w:hint="eastAsia"/>
                      <w:color w:val="auto"/>
                    </w:rPr>
                    <w:t>排放口编号</w:t>
                  </w:r>
                </w:p>
              </w:tc>
              <w:tc>
                <w:tcPr>
                  <w:tcW w:w="1112" w:type="pct"/>
                  <w:gridSpan w:val="2"/>
                  <w:vAlign w:val="center"/>
                </w:tcPr>
                <w:p>
                  <w:pPr>
                    <w:pStyle w:val="54"/>
                    <w:rPr>
                      <w:color w:val="auto"/>
                    </w:rPr>
                  </w:pPr>
                  <w:r>
                    <w:rPr>
                      <w:rFonts w:hint="eastAsia"/>
                      <w:color w:val="auto"/>
                    </w:rPr>
                    <w:t>排放口地理坐标</w:t>
                  </w:r>
                </w:p>
              </w:tc>
              <w:tc>
                <w:tcPr>
                  <w:tcW w:w="484" w:type="pct"/>
                  <w:vMerge w:val="restart"/>
                  <w:vAlign w:val="center"/>
                </w:tcPr>
                <w:p>
                  <w:pPr>
                    <w:pStyle w:val="54"/>
                    <w:rPr>
                      <w:color w:val="auto"/>
                    </w:rPr>
                  </w:pPr>
                  <w:r>
                    <w:rPr>
                      <w:rFonts w:hint="eastAsia"/>
                      <w:color w:val="auto"/>
                    </w:rPr>
                    <w:t>废水排放量（万t/a）</w:t>
                  </w:r>
                </w:p>
              </w:tc>
              <w:tc>
                <w:tcPr>
                  <w:tcW w:w="280" w:type="pct"/>
                  <w:vMerge w:val="restart"/>
                  <w:vAlign w:val="center"/>
                </w:tcPr>
                <w:p>
                  <w:pPr>
                    <w:pStyle w:val="54"/>
                    <w:rPr>
                      <w:color w:val="auto"/>
                    </w:rPr>
                  </w:pPr>
                  <w:r>
                    <w:rPr>
                      <w:rFonts w:hint="eastAsia"/>
                      <w:color w:val="auto"/>
                    </w:rPr>
                    <w:t>排放去向</w:t>
                  </w:r>
                </w:p>
              </w:tc>
              <w:tc>
                <w:tcPr>
                  <w:tcW w:w="579" w:type="pct"/>
                  <w:vMerge w:val="restart"/>
                  <w:vAlign w:val="center"/>
                </w:tcPr>
                <w:p>
                  <w:pPr>
                    <w:pStyle w:val="54"/>
                    <w:rPr>
                      <w:color w:val="auto"/>
                    </w:rPr>
                  </w:pPr>
                  <w:r>
                    <w:rPr>
                      <w:rFonts w:hint="eastAsia"/>
                      <w:color w:val="auto"/>
                    </w:rPr>
                    <w:t>排放规律</w:t>
                  </w:r>
                </w:p>
              </w:tc>
              <w:tc>
                <w:tcPr>
                  <w:tcW w:w="1706" w:type="pct"/>
                  <w:gridSpan w:val="3"/>
                  <w:vAlign w:val="center"/>
                </w:tcPr>
                <w:p>
                  <w:pPr>
                    <w:pStyle w:val="54"/>
                    <w:rPr>
                      <w:color w:val="auto"/>
                    </w:rPr>
                  </w:pPr>
                  <w:r>
                    <w:rPr>
                      <w:rFonts w:hint="eastAsia"/>
                      <w:color w:val="auto"/>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pPr>
                    <w:pStyle w:val="54"/>
                    <w:rPr>
                      <w:color w:val="auto"/>
                    </w:rPr>
                  </w:pPr>
                </w:p>
              </w:tc>
              <w:tc>
                <w:tcPr>
                  <w:tcW w:w="564" w:type="pct"/>
                  <w:vMerge w:val="continue"/>
                  <w:vAlign w:val="center"/>
                </w:tcPr>
                <w:p>
                  <w:pPr>
                    <w:pStyle w:val="54"/>
                    <w:rPr>
                      <w:color w:val="auto"/>
                    </w:rPr>
                  </w:pPr>
                </w:p>
              </w:tc>
              <w:tc>
                <w:tcPr>
                  <w:tcW w:w="583" w:type="pct"/>
                  <w:vAlign w:val="center"/>
                </w:tcPr>
                <w:p>
                  <w:pPr>
                    <w:pStyle w:val="54"/>
                    <w:rPr>
                      <w:color w:val="auto"/>
                    </w:rPr>
                  </w:pPr>
                  <w:r>
                    <w:rPr>
                      <w:rFonts w:hint="eastAsia"/>
                      <w:color w:val="auto"/>
                    </w:rPr>
                    <w:t>经度</w:t>
                  </w:r>
                </w:p>
              </w:tc>
              <w:tc>
                <w:tcPr>
                  <w:tcW w:w="528" w:type="pct"/>
                  <w:vAlign w:val="center"/>
                </w:tcPr>
                <w:p>
                  <w:pPr>
                    <w:pStyle w:val="54"/>
                    <w:rPr>
                      <w:color w:val="auto"/>
                    </w:rPr>
                  </w:pPr>
                  <w:r>
                    <w:rPr>
                      <w:rFonts w:hint="eastAsia"/>
                      <w:color w:val="auto"/>
                    </w:rPr>
                    <w:t>纬度</w:t>
                  </w:r>
                </w:p>
              </w:tc>
              <w:tc>
                <w:tcPr>
                  <w:tcW w:w="484" w:type="pct"/>
                  <w:vMerge w:val="continue"/>
                  <w:vAlign w:val="center"/>
                </w:tcPr>
                <w:p>
                  <w:pPr>
                    <w:pStyle w:val="54"/>
                    <w:rPr>
                      <w:color w:val="auto"/>
                    </w:rPr>
                  </w:pPr>
                </w:p>
              </w:tc>
              <w:tc>
                <w:tcPr>
                  <w:tcW w:w="280" w:type="pct"/>
                  <w:vMerge w:val="continue"/>
                  <w:vAlign w:val="center"/>
                </w:tcPr>
                <w:p>
                  <w:pPr>
                    <w:pStyle w:val="54"/>
                    <w:rPr>
                      <w:color w:val="auto"/>
                    </w:rPr>
                  </w:pPr>
                </w:p>
              </w:tc>
              <w:tc>
                <w:tcPr>
                  <w:tcW w:w="579" w:type="pct"/>
                  <w:vMerge w:val="continue"/>
                  <w:vAlign w:val="center"/>
                </w:tcPr>
                <w:p>
                  <w:pPr>
                    <w:pStyle w:val="54"/>
                    <w:rPr>
                      <w:color w:val="auto"/>
                    </w:rPr>
                  </w:pPr>
                </w:p>
              </w:tc>
              <w:tc>
                <w:tcPr>
                  <w:tcW w:w="320" w:type="pct"/>
                  <w:vAlign w:val="center"/>
                </w:tcPr>
                <w:p>
                  <w:pPr>
                    <w:pStyle w:val="54"/>
                    <w:rPr>
                      <w:color w:val="auto"/>
                    </w:rPr>
                  </w:pPr>
                  <w:r>
                    <w:rPr>
                      <w:rFonts w:hint="eastAsia"/>
                      <w:color w:val="auto"/>
                    </w:rPr>
                    <w:t>名称</w:t>
                  </w:r>
                </w:p>
              </w:tc>
              <w:tc>
                <w:tcPr>
                  <w:tcW w:w="572" w:type="pct"/>
                  <w:vAlign w:val="center"/>
                </w:tcPr>
                <w:p>
                  <w:pPr>
                    <w:pStyle w:val="54"/>
                    <w:rPr>
                      <w:color w:val="auto"/>
                    </w:rPr>
                  </w:pPr>
                  <w:r>
                    <w:rPr>
                      <w:rFonts w:hint="eastAsia"/>
                      <w:color w:val="auto"/>
                    </w:rPr>
                    <w:t>污染物种类</w:t>
                  </w:r>
                </w:p>
              </w:tc>
              <w:tc>
                <w:tcPr>
                  <w:tcW w:w="813" w:type="pct"/>
                  <w:vAlign w:val="center"/>
                </w:tcPr>
                <w:p>
                  <w:pPr>
                    <w:pStyle w:val="54"/>
                    <w:rPr>
                      <w:color w:val="auto"/>
                    </w:rPr>
                  </w:pPr>
                  <w:r>
                    <w:rPr>
                      <w:rFonts w:hint="eastAsia"/>
                      <w:color w:val="auto"/>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71" w:type="pct"/>
                  <w:vMerge w:val="restart"/>
                  <w:vAlign w:val="center"/>
                </w:tcPr>
                <w:p>
                  <w:pPr>
                    <w:pStyle w:val="54"/>
                    <w:rPr>
                      <w:color w:val="auto"/>
                    </w:rPr>
                  </w:pPr>
                  <w:r>
                    <w:rPr>
                      <w:rFonts w:hint="eastAsia"/>
                      <w:color w:val="auto"/>
                    </w:rPr>
                    <w:t>1</w:t>
                  </w:r>
                </w:p>
              </w:tc>
              <w:tc>
                <w:tcPr>
                  <w:tcW w:w="564" w:type="pct"/>
                  <w:vMerge w:val="restart"/>
                  <w:vAlign w:val="center"/>
                </w:tcPr>
                <w:p>
                  <w:pPr>
                    <w:pStyle w:val="54"/>
                    <w:rPr>
                      <w:color w:val="auto"/>
                    </w:rPr>
                  </w:pPr>
                  <w:r>
                    <w:rPr>
                      <w:rFonts w:hint="eastAsia"/>
                      <w:color w:val="auto"/>
                    </w:rPr>
                    <w:t>DW001</w:t>
                  </w:r>
                </w:p>
              </w:tc>
              <w:tc>
                <w:tcPr>
                  <w:tcW w:w="583" w:type="pct"/>
                  <w:vMerge w:val="restart"/>
                  <w:vAlign w:val="center"/>
                </w:tcPr>
                <w:p>
                  <w:pPr>
                    <w:pStyle w:val="54"/>
                    <w:ind w:firstLine="0" w:firstLineChars="0"/>
                    <w:rPr>
                      <w:rFonts w:ascii="Times New Roman" w:hAnsi="Times New Roman" w:eastAsia="宋体" w:cs="Times New Roman"/>
                      <w:color w:val="auto"/>
                      <w:kern w:val="24"/>
                      <w:sz w:val="21"/>
                      <w:szCs w:val="20"/>
                      <w:highlight w:val="yellow"/>
                      <w:lang w:val="en-US" w:eastAsia="zh-CN" w:bidi="ar-SA"/>
                    </w:rPr>
                  </w:pPr>
                  <w:r>
                    <w:rPr>
                      <w:rFonts w:hint="eastAsia"/>
                      <w:color w:val="auto"/>
                    </w:rPr>
                    <w:t>101.229117</w:t>
                  </w:r>
                </w:p>
              </w:tc>
              <w:tc>
                <w:tcPr>
                  <w:tcW w:w="528" w:type="pct"/>
                  <w:vMerge w:val="restart"/>
                  <w:vAlign w:val="center"/>
                </w:tcPr>
                <w:p>
                  <w:pPr>
                    <w:pStyle w:val="54"/>
                    <w:ind w:firstLine="0" w:firstLineChars="0"/>
                    <w:rPr>
                      <w:rFonts w:ascii="Times New Roman" w:hAnsi="Times New Roman" w:eastAsia="宋体" w:cs="Times New Roman"/>
                      <w:color w:val="auto"/>
                      <w:kern w:val="24"/>
                      <w:sz w:val="21"/>
                      <w:szCs w:val="20"/>
                      <w:highlight w:val="yellow"/>
                      <w:lang w:val="en-US" w:eastAsia="zh-CN" w:bidi="ar-SA"/>
                    </w:rPr>
                  </w:pPr>
                  <w:r>
                    <w:rPr>
                      <w:rFonts w:hint="eastAsia"/>
                      <w:color w:val="auto"/>
                    </w:rPr>
                    <w:t>25.509691</w:t>
                  </w:r>
                </w:p>
              </w:tc>
              <w:tc>
                <w:tcPr>
                  <w:tcW w:w="484" w:type="pct"/>
                  <w:vMerge w:val="restart"/>
                  <w:vAlign w:val="center"/>
                </w:tcPr>
                <w:p>
                  <w:pPr>
                    <w:pStyle w:val="54"/>
                    <w:rPr>
                      <w:rFonts w:hint="default" w:eastAsia="宋体"/>
                      <w:color w:val="auto"/>
                      <w:lang w:val="en-US" w:eastAsia="zh-CN"/>
                    </w:rPr>
                  </w:pPr>
                  <w:r>
                    <w:rPr>
                      <w:rFonts w:hint="eastAsia"/>
                      <w:color w:val="auto"/>
                      <w:lang w:val="en-US" w:eastAsia="zh-CN"/>
                    </w:rPr>
                    <w:t>1.77</w:t>
                  </w:r>
                </w:p>
              </w:tc>
              <w:tc>
                <w:tcPr>
                  <w:tcW w:w="280" w:type="pct"/>
                  <w:vMerge w:val="restart"/>
                  <w:vAlign w:val="center"/>
                </w:tcPr>
                <w:p>
                  <w:pPr>
                    <w:pStyle w:val="54"/>
                    <w:rPr>
                      <w:color w:val="auto"/>
                    </w:rPr>
                  </w:pPr>
                  <w:r>
                    <w:rPr>
                      <w:rFonts w:hint="eastAsia"/>
                      <w:color w:val="auto"/>
                    </w:rPr>
                    <w:t>进入城镇污水处理厂</w:t>
                  </w:r>
                </w:p>
              </w:tc>
              <w:tc>
                <w:tcPr>
                  <w:tcW w:w="579" w:type="pct"/>
                  <w:vMerge w:val="restart"/>
                  <w:vAlign w:val="center"/>
                </w:tcPr>
                <w:p>
                  <w:pPr>
                    <w:pStyle w:val="54"/>
                    <w:jc w:val="both"/>
                    <w:rPr>
                      <w:color w:val="auto"/>
                    </w:rPr>
                  </w:pPr>
                  <w:r>
                    <w:rPr>
                      <w:rFonts w:hint="eastAsia"/>
                      <w:color w:val="auto"/>
                    </w:rPr>
                    <w:t>间断排放、排放期流量不稳定且无规律、但不属于冲击型排放</w:t>
                  </w:r>
                </w:p>
              </w:tc>
              <w:tc>
                <w:tcPr>
                  <w:tcW w:w="320" w:type="pct"/>
                  <w:vMerge w:val="restart"/>
                  <w:vAlign w:val="center"/>
                </w:tcPr>
                <w:p>
                  <w:pPr>
                    <w:pStyle w:val="54"/>
                    <w:rPr>
                      <w:color w:val="auto"/>
                    </w:rPr>
                  </w:pPr>
                  <w:r>
                    <w:rPr>
                      <w:rFonts w:hint="eastAsia"/>
                      <w:color w:val="auto"/>
                      <w:lang w:val="en-US" w:eastAsia="zh-CN"/>
                    </w:rPr>
                    <w:t>姚安县</w:t>
                  </w:r>
                  <w:r>
                    <w:rPr>
                      <w:rFonts w:hint="eastAsia"/>
                      <w:color w:val="auto"/>
                    </w:rPr>
                    <w:t>污水处理厂</w:t>
                  </w:r>
                </w:p>
              </w:tc>
              <w:tc>
                <w:tcPr>
                  <w:tcW w:w="572" w:type="pct"/>
                  <w:vAlign w:val="center"/>
                </w:tcPr>
                <w:p>
                  <w:pPr>
                    <w:pStyle w:val="54"/>
                    <w:rPr>
                      <w:color w:val="auto"/>
                    </w:rPr>
                  </w:pPr>
                  <w:r>
                    <w:rPr>
                      <w:rFonts w:hint="eastAsia"/>
                      <w:color w:val="auto"/>
                    </w:rPr>
                    <w:t>p</w:t>
                  </w:r>
                  <w:r>
                    <w:rPr>
                      <w:color w:val="auto"/>
                    </w:rPr>
                    <w:t>H</w:t>
                  </w:r>
                </w:p>
              </w:tc>
              <w:tc>
                <w:tcPr>
                  <w:tcW w:w="813" w:type="pct"/>
                  <w:vAlign w:val="center"/>
                </w:tcPr>
                <w:p>
                  <w:pPr>
                    <w:pStyle w:val="54"/>
                    <w:rPr>
                      <w:color w:val="auto"/>
                    </w:rPr>
                  </w:pPr>
                  <w:r>
                    <w:rPr>
                      <w:color w:val="auto"/>
                    </w:rPr>
                    <w:t>6~9</w:t>
                  </w:r>
                  <w:r>
                    <w:rPr>
                      <w:rFonts w:hint="eastAsia"/>
                      <w:color w:val="auto"/>
                    </w:rPr>
                    <w:t xml:space="preserve"> 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COD</w:t>
                  </w:r>
                  <w:r>
                    <w:rPr>
                      <w:color w:val="auto"/>
                      <w:vertAlign w:val="subscript"/>
                    </w:rPr>
                    <w:t>cr</w:t>
                  </w:r>
                </w:p>
              </w:tc>
              <w:tc>
                <w:tcPr>
                  <w:tcW w:w="813" w:type="pct"/>
                  <w:vAlign w:val="center"/>
                </w:tcPr>
                <w:p>
                  <w:pPr>
                    <w:pStyle w:val="54"/>
                    <w:rPr>
                      <w:color w:val="auto"/>
                    </w:rPr>
                  </w:pPr>
                  <w:r>
                    <w:rPr>
                      <w:rFonts w:hint="eastAsia"/>
                      <w:color w:val="auto"/>
                    </w:rPr>
                    <w:t>60mg/L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BOD</w:t>
                  </w:r>
                  <w:r>
                    <w:rPr>
                      <w:color w:val="auto"/>
                      <w:vertAlign w:val="subscript"/>
                    </w:rPr>
                    <w:t>5</w:t>
                  </w:r>
                </w:p>
              </w:tc>
              <w:tc>
                <w:tcPr>
                  <w:tcW w:w="813" w:type="pct"/>
                  <w:vAlign w:val="center"/>
                </w:tcPr>
                <w:p>
                  <w:pPr>
                    <w:pStyle w:val="54"/>
                    <w:rPr>
                      <w:color w:val="auto"/>
                    </w:rPr>
                  </w:pPr>
                  <w:r>
                    <w:rPr>
                      <w:rFonts w:hint="eastAsia"/>
                      <w:color w:val="auto"/>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SS</w:t>
                  </w:r>
                </w:p>
              </w:tc>
              <w:tc>
                <w:tcPr>
                  <w:tcW w:w="813" w:type="pct"/>
                  <w:vAlign w:val="center"/>
                </w:tcPr>
                <w:p>
                  <w:pPr>
                    <w:pStyle w:val="54"/>
                    <w:rPr>
                      <w:color w:val="auto"/>
                    </w:rPr>
                  </w:pPr>
                  <w:r>
                    <w:rPr>
                      <w:rFonts w:hint="eastAsia"/>
                      <w:color w:val="auto"/>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氨氮</w:t>
                  </w:r>
                </w:p>
              </w:tc>
              <w:tc>
                <w:tcPr>
                  <w:tcW w:w="813" w:type="pct"/>
                  <w:vAlign w:val="center"/>
                </w:tcPr>
                <w:p>
                  <w:pPr>
                    <w:pStyle w:val="54"/>
                    <w:rPr>
                      <w:color w:val="auto"/>
                    </w:rPr>
                  </w:pPr>
                  <w:r>
                    <w:rPr>
                      <w:rFonts w:hint="eastAsia"/>
                      <w:color w:val="auto"/>
                    </w:rPr>
                    <w:t>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粪大肠菌群数</w:t>
                  </w:r>
                </w:p>
              </w:tc>
              <w:tc>
                <w:tcPr>
                  <w:tcW w:w="813" w:type="pct"/>
                  <w:vAlign w:val="center"/>
                </w:tcPr>
                <w:p>
                  <w:pPr>
                    <w:pStyle w:val="54"/>
                    <w:rPr>
                      <w:color w:val="auto"/>
                    </w:rPr>
                  </w:pPr>
                  <w:r>
                    <w:rPr>
                      <w:rFonts w:hint="eastAsia"/>
                      <w:color w:val="auto"/>
                    </w:rPr>
                    <w:t>10</w:t>
                  </w:r>
                  <w:r>
                    <w:rPr>
                      <w:rFonts w:hint="eastAsia"/>
                      <w:color w:val="auto"/>
                      <w:vertAlign w:val="superscript"/>
                    </w:rPr>
                    <w:t>4</w:t>
                  </w:r>
                  <w:r>
                    <w:rPr>
                      <w:rFonts w:hint="eastAsia"/>
                      <w:color w:val="auto"/>
                    </w:rPr>
                    <w:t>mg/L</w:t>
                  </w:r>
                </w:p>
              </w:tc>
            </w:tr>
          </w:tbl>
          <w:p>
            <w:pPr>
              <w:pStyle w:val="67"/>
              <w:spacing w:line="360" w:lineRule="auto"/>
              <w:rPr>
                <w:rFonts w:hint="eastAsia"/>
                <w:color w:val="auto"/>
                <w:sz w:val="21"/>
                <w:szCs w:val="21"/>
                <w:highlight w:val="yellow"/>
              </w:rPr>
            </w:pPr>
            <w:r>
              <w:rPr>
                <w:rFonts w:hint="eastAsia"/>
                <w:color w:val="auto"/>
                <w:sz w:val="21"/>
                <w:szCs w:val="21"/>
                <w:highlight w:val="none"/>
              </w:rPr>
              <w:t>表4-</w:t>
            </w:r>
            <w:r>
              <w:rPr>
                <w:rFonts w:hint="eastAsia"/>
                <w:color w:val="auto"/>
                <w:sz w:val="21"/>
                <w:szCs w:val="21"/>
                <w:highlight w:val="none"/>
                <w:lang w:val="en-US" w:eastAsia="zh-CN"/>
              </w:rPr>
              <w:t>11</w:t>
            </w:r>
            <w:r>
              <w:rPr>
                <w:rFonts w:hint="eastAsia"/>
                <w:color w:val="auto"/>
                <w:sz w:val="21"/>
                <w:szCs w:val="21"/>
                <w:highlight w:val="none"/>
              </w:rPr>
              <w:t xml:space="preserve"> 项目废水排放执行标准情况表</w:t>
            </w:r>
          </w:p>
          <w:tbl>
            <w:tblPr>
              <w:tblStyle w:val="37"/>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409"/>
              <w:gridCol w:w="2251"/>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58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排放口编号</w:t>
                  </w: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污染物种类</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标准限值（</w:t>
                  </w:r>
                  <w:r>
                    <w:rPr>
                      <w:rFonts w:hint="eastAsia"/>
                      <w:b/>
                      <w:bCs/>
                      <w:color w:val="auto"/>
                      <w:sz w:val="21"/>
                    </w:rPr>
                    <w:t>mg/L</w:t>
                  </w:r>
                  <w:r>
                    <w:rPr>
                      <w:rFonts w:hint="default" w:ascii="宋体" w:eastAsia="宋体"/>
                      <w:b/>
                      <w:bCs/>
                      <w:color w:val="auto"/>
                      <w:sz w:val="21"/>
                    </w:rPr>
                    <w:t>）</w:t>
                  </w:r>
                </w:p>
              </w:tc>
              <w:tc>
                <w:tcPr>
                  <w:tcW w:w="22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both"/>
                    <w:rPr>
                      <w:rFonts w:hint="default" w:ascii="宋体" w:eastAsia="宋体"/>
                      <w:color w:val="auto"/>
                      <w:sz w:val="21"/>
                    </w:rPr>
                  </w:pPr>
                  <w:r>
                    <w:rPr>
                      <w:rFonts w:hint="default" w:ascii="宋体" w:eastAsia="宋体"/>
                      <w:color w:val="auto"/>
                      <w:sz w:val="21"/>
                    </w:rPr>
                    <w:t>DW001</w:t>
                  </w: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pH</w:t>
                  </w:r>
                  <w:r>
                    <w:rPr>
                      <w:rFonts w:hint="default" w:ascii="宋体" w:eastAsia="宋体"/>
                      <w:color w:val="auto"/>
                      <w:sz w:val="21"/>
                    </w:rPr>
                    <w:t>值</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6~9</w:t>
                  </w:r>
                </w:p>
              </w:tc>
              <w:tc>
                <w:tcPr>
                  <w:tcW w:w="222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both"/>
                    <w:rPr>
                      <w:rFonts w:hint="default" w:ascii="宋体" w:eastAsia="宋体"/>
                      <w:color w:val="auto"/>
                      <w:sz w:val="21"/>
                    </w:rPr>
                  </w:pPr>
                  <w:r>
                    <w:rPr>
                      <w:rFonts w:hint="default" w:ascii="宋体" w:hAnsi="宋体" w:eastAsia="宋体"/>
                      <w:color w:val="auto"/>
                      <w:sz w:val="21"/>
                    </w:rPr>
                    <w:t>《医疗机构水污染物排放标准》（GB18466-2005）表2预处理标准和《污水排入城镇下水道水质标准》（GB/T31962-2015）表1（</w:t>
                  </w:r>
                  <w:r>
                    <w:rPr>
                      <w:rFonts w:hint="eastAsia" w:ascii="宋体" w:hAnsi="宋体" w:eastAsia="宋体"/>
                      <w:color w:val="auto"/>
                      <w:sz w:val="21"/>
                      <w:lang w:eastAsia="zh-CN"/>
                    </w:rPr>
                    <w:t>B等级</w:t>
                  </w:r>
                  <w:r>
                    <w:rPr>
                      <w:rFonts w:hint="default" w:ascii="宋体" w:hAnsi="宋体" w:eastAsia="宋体"/>
                      <w:color w:val="auto"/>
                      <w:sz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悬浮物</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60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化学需氧量</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250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五日生化需氧量</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氨氮</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lang w:val="en-US" w:eastAsia="zh-CN"/>
                    </w:rPr>
                  </w:pPr>
                  <w:r>
                    <w:rPr>
                      <w:rFonts w:hint="eastAsia" w:eastAsia="宋体"/>
                      <w:color w:val="auto"/>
                      <w:sz w:val="21"/>
                      <w:lang w:val="en-US" w:eastAsia="zh-CN"/>
                    </w:rPr>
                    <w:t>45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阴离子表面活性剂</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动植物油</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石油类</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挥发酚</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总氰化物</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六价铬</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砷</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汞</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铅</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镉</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0.1</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铬</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银</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总余氯</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2-8</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粪大肠菌群</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5000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bl>
          <w:p>
            <w:pPr>
              <w:ind w:firstLine="482"/>
              <w:rPr>
                <w:b/>
                <w:bCs/>
                <w:color w:val="auto"/>
                <w:kern w:val="0"/>
                <w:szCs w:val="24"/>
              </w:rPr>
            </w:pPr>
            <w:r>
              <w:rPr>
                <w:rFonts w:hint="eastAsia"/>
                <w:b/>
                <w:bCs/>
                <w:color w:val="auto"/>
                <w:kern w:val="0"/>
                <w:szCs w:val="24"/>
              </w:rPr>
              <w:t>（3）水环境监测计划</w:t>
            </w:r>
          </w:p>
          <w:p>
            <w:pPr>
              <w:ind w:firstLine="480"/>
              <w:rPr>
                <w:rFonts w:eastAsia="宋体" w:cs="Times New Roman"/>
                <w:bCs/>
                <w:color w:val="auto"/>
                <w:szCs w:val="24"/>
              </w:rPr>
            </w:pPr>
            <w:r>
              <w:rPr>
                <w:rFonts w:hint="eastAsia" w:eastAsia="宋体" w:cs="Times New Roman"/>
                <w:bCs/>
                <w:color w:val="auto"/>
                <w:szCs w:val="24"/>
              </w:rPr>
              <w:t>便于建设项目的环境管理，现将建设项目水环境监测计划列于表4-</w:t>
            </w:r>
            <w:r>
              <w:rPr>
                <w:rFonts w:hint="eastAsia" w:eastAsia="宋体" w:cs="Times New Roman"/>
                <w:bCs/>
                <w:color w:val="auto"/>
                <w:szCs w:val="24"/>
                <w:lang w:val="en-US" w:eastAsia="zh-CN"/>
              </w:rPr>
              <w:t>12</w:t>
            </w:r>
            <w:r>
              <w:rPr>
                <w:rFonts w:hint="eastAsia" w:eastAsia="宋体" w:cs="Times New Roman"/>
                <w:bCs/>
                <w:color w:val="auto"/>
                <w:szCs w:val="24"/>
              </w:rPr>
              <w:t>。</w:t>
            </w:r>
          </w:p>
          <w:p>
            <w:pPr>
              <w:ind w:firstLine="315" w:firstLineChars="150"/>
              <w:jc w:val="center"/>
              <w:rPr>
                <w:b/>
                <w:color w:val="auto"/>
                <w:sz w:val="21"/>
                <w:szCs w:val="21"/>
              </w:rPr>
            </w:pPr>
            <w:r>
              <w:rPr>
                <w:b/>
                <w:color w:val="auto"/>
                <w:sz w:val="21"/>
                <w:szCs w:val="21"/>
              </w:rPr>
              <w:t>表</w:t>
            </w:r>
            <w:r>
              <w:rPr>
                <w:rFonts w:hint="eastAsia"/>
                <w:b/>
                <w:color w:val="auto"/>
                <w:sz w:val="21"/>
                <w:szCs w:val="21"/>
              </w:rPr>
              <w:t>4-</w:t>
            </w:r>
            <w:r>
              <w:rPr>
                <w:rFonts w:hint="eastAsia"/>
                <w:b/>
                <w:color w:val="auto"/>
                <w:sz w:val="21"/>
                <w:szCs w:val="21"/>
                <w:lang w:val="en-US" w:eastAsia="zh-CN"/>
              </w:rPr>
              <w:t>12</w:t>
            </w:r>
            <w:r>
              <w:rPr>
                <w:rFonts w:hint="eastAsia"/>
                <w:b/>
                <w:color w:val="auto"/>
                <w:sz w:val="21"/>
                <w:szCs w:val="21"/>
              </w:rPr>
              <w:t xml:space="preserve"> </w:t>
            </w:r>
            <w:r>
              <w:rPr>
                <w:b/>
                <w:color w:val="auto"/>
                <w:sz w:val="21"/>
                <w:szCs w:val="21"/>
              </w:rPr>
              <w:t xml:space="preserve"> </w:t>
            </w:r>
            <w:r>
              <w:rPr>
                <w:rFonts w:hint="eastAsia"/>
                <w:b/>
                <w:color w:val="auto"/>
                <w:sz w:val="21"/>
                <w:szCs w:val="21"/>
                <w:lang w:val="en-US" w:eastAsia="zh-CN"/>
              </w:rPr>
              <w:t>废水</w:t>
            </w:r>
            <w:r>
              <w:rPr>
                <w:b/>
                <w:color w:val="auto"/>
                <w:sz w:val="21"/>
                <w:szCs w:val="21"/>
              </w:rPr>
              <w:t>监测计划一览表</w:t>
            </w:r>
          </w:p>
          <w:tbl>
            <w:tblPr>
              <w:tblStyle w:val="37"/>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41"/>
              <w:gridCol w:w="1123"/>
              <w:gridCol w:w="4122"/>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2" w:type="dxa"/>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监测时段</w:t>
                  </w:r>
                </w:p>
              </w:tc>
              <w:tc>
                <w:tcPr>
                  <w:tcW w:w="841" w:type="dxa"/>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监测项目</w:t>
                  </w:r>
                </w:p>
              </w:tc>
              <w:tc>
                <w:tcPr>
                  <w:tcW w:w="1123"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rFonts w:hint="eastAsia"/>
                      <w:b/>
                      <w:bCs/>
                      <w:color w:val="auto"/>
                      <w:sz w:val="21"/>
                      <w:szCs w:val="21"/>
                      <w:lang w:eastAsia="zh-CN"/>
                    </w:rPr>
                    <w:t>监测点位</w:t>
                  </w:r>
                </w:p>
              </w:tc>
              <w:tc>
                <w:tcPr>
                  <w:tcW w:w="4122"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因子</w:t>
                  </w:r>
                </w:p>
              </w:tc>
              <w:tc>
                <w:tcPr>
                  <w:tcW w:w="1474"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trPr>
              <w:tc>
                <w:tcPr>
                  <w:tcW w:w="952" w:type="dxa"/>
                  <w:vAlign w:val="center"/>
                </w:tcPr>
                <w:p>
                  <w:pPr>
                    <w:pStyle w:val="146"/>
                    <w:spacing w:line="360" w:lineRule="auto"/>
                    <w:rPr>
                      <w:color w:val="auto"/>
                      <w:sz w:val="21"/>
                      <w:szCs w:val="21"/>
                    </w:rPr>
                  </w:pPr>
                  <w:r>
                    <w:rPr>
                      <w:color w:val="auto"/>
                      <w:sz w:val="21"/>
                      <w:szCs w:val="21"/>
                    </w:rPr>
                    <w:t>运营期</w:t>
                  </w:r>
                </w:p>
              </w:tc>
              <w:tc>
                <w:tcPr>
                  <w:tcW w:w="841" w:type="dxa"/>
                  <w:vAlign w:val="center"/>
                </w:tcPr>
                <w:p>
                  <w:pPr>
                    <w:pStyle w:val="146"/>
                    <w:spacing w:line="360" w:lineRule="auto"/>
                    <w:rPr>
                      <w:color w:val="auto"/>
                      <w:sz w:val="21"/>
                      <w:szCs w:val="21"/>
                    </w:rPr>
                  </w:pPr>
                  <w:r>
                    <w:rPr>
                      <w:rFonts w:hint="eastAsia"/>
                      <w:color w:val="auto"/>
                      <w:sz w:val="21"/>
                      <w:szCs w:val="21"/>
                    </w:rPr>
                    <w:t>废水</w:t>
                  </w:r>
                </w:p>
              </w:tc>
              <w:tc>
                <w:tcPr>
                  <w:tcW w:w="1123" w:type="dxa"/>
                  <w:vAlign w:val="center"/>
                </w:tcPr>
                <w:p>
                  <w:pPr>
                    <w:pStyle w:val="146"/>
                    <w:spacing w:line="360" w:lineRule="auto"/>
                    <w:rPr>
                      <w:color w:val="auto"/>
                      <w:sz w:val="21"/>
                      <w:szCs w:val="21"/>
                    </w:rPr>
                  </w:pPr>
                  <w:r>
                    <w:rPr>
                      <w:rFonts w:hint="eastAsia"/>
                      <w:color w:val="auto"/>
                      <w:sz w:val="21"/>
                      <w:szCs w:val="21"/>
                    </w:rPr>
                    <w:t>污水</w:t>
                  </w:r>
                  <w:r>
                    <w:rPr>
                      <w:rFonts w:hint="eastAsia"/>
                      <w:color w:val="auto"/>
                      <w:sz w:val="21"/>
                      <w:szCs w:val="21"/>
                      <w:lang w:val="en-US" w:eastAsia="zh-CN"/>
                    </w:rPr>
                    <w:t>总入口、总</w:t>
                  </w:r>
                  <w:r>
                    <w:rPr>
                      <w:rFonts w:hint="eastAsia"/>
                      <w:color w:val="auto"/>
                      <w:sz w:val="21"/>
                      <w:szCs w:val="21"/>
                    </w:rPr>
                    <w:t>排放口</w:t>
                  </w:r>
                </w:p>
              </w:tc>
              <w:tc>
                <w:tcPr>
                  <w:tcW w:w="4122" w:type="dxa"/>
                  <w:vAlign w:val="center"/>
                </w:tcPr>
                <w:p>
                  <w:pPr>
                    <w:pStyle w:val="146"/>
                    <w:spacing w:line="360" w:lineRule="auto"/>
                    <w:jc w:val="both"/>
                    <w:rPr>
                      <w:color w:val="auto"/>
                      <w:sz w:val="21"/>
                      <w:szCs w:val="21"/>
                    </w:rPr>
                  </w:pPr>
                  <w:r>
                    <w:rPr>
                      <w:rFonts w:ascii="Times New Roman" w:hAnsi="Times New Roman" w:cs="Times New Roman"/>
                      <w:color w:val="auto"/>
                      <w:sz w:val="21"/>
                      <w:szCs w:val="21"/>
                    </w:rPr>
                    <w:t>pH值、BOD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w:t>
                  </w:r>
                  <w:r>
                    <w:rPr>
                      <w:rFonts w:hint="eastAsia" w:ascii="Times New Roman" w:hAnsi="Times New Roman" w:cs="Times New Roman"/>
                      <w:color w:val="auto"/>
                      <w:sz w:val="21"/>
                      <w:szCs w:val="21"/>
                    </w:rPr>
                    <w:t>C</w:t>
                  </w:r>
                  <w:r>
                    <w:rPr>
                      <w:rFonts w:ascii="Times New Roman" w:hAnsi="Times New Roman" w:cs="Times New Roman"/>
                      <w:color w:val="auto"/>
                      <w:sz w:val="21"/>
                      <w:szCs w:val="21"/>
                    </w:rPr>
                    <w:t>OD、</w:t>
                  </w:r>
                  <w:r>
                    <w:rPr>
                      <w:rFonts w:hint="eastAsia" w:ascii="Times New Roman" w:hAnsi="Times New Roman" w:cs="Times New Roman"/>
                      <w:color w:val="auto"/>
                      <w:sz w:val="21"/>
                      <w:szCs w:val="21"/>
                    </w:rPr>
                    <w:t>悬浮物（SS）</w:t>
                  </w:r>
                  <w:r>
                    <w:rPr>
                      <w:rFonts w:ascii="Times New Roman" w:hAnsi="Times New Roman" w:cs="Times New Roman"/>
                      <w:color w:val="auto"/>
                      <w:sz w:val="21"/>
                      <w:szCs w:val="21"/>
                    </w:rPr>
                    <w:t>、</w:t>
                  </w:r>
                  <w:r>
                    <w:rPr>
                      <w:rFonts w:hint="eastAsia" w:ascii="Times New Roman" w:hAnsi="Times New Roman" w:cs="Times New Roman"/>
                      <w:color w:val="auto"/>
                      <w:sz w:val="21"/>
                      <w:szCs w:val="21"/>
                    </w:rPr>
                    <w:t>氨氮</w:t>
                  </w:r>
                  <w:r>
                    <w:rPr>
                      <w:rFonts w:ascii="Times New Roman" w:hAnsi="Times New Roman" w:cs="Times New Roman"/>
                      <w:color w:val="auto"/>
                      <w:sz w:val="21"/>
                      <w:szCs w:val="21"/>
                    </w:rPr>
                    <w:t>、</w:t>
                  </w:r>
                  <w:r>
                    <w:rPr>
                      <w:rFonts w:hint="eastAsia" w:ascii="Times New Roman" w:hAnsi="Times New Roman" w:cs="Times New Roman"/>
                      <w:color w:val="auto"/>
                      <w:sz w:val="21"/>
                      <w:szCs w:val="21"/>
                    </w:rPr>
                    <w:t>动植物油、石油、</w:t>
                  </w:r>
                  <w:r>
                    <w:rPr>
                      <w:rFonts w:ascii="Times New Roman" w:hAnsi="Times New Roman" w:cs="Times New Roman"/>
                      <w:color w:val="auto"/>
                      <w:sz w:val="21"/>
                      <w:szCs w:val="21"/>
                    </w:rPr>
                    <w:t>阴离子表面活性剂、</w:t>
                  </w:r>
                  <w:r>
                    <w:rPr>
                      <w:rFonts w:hint="eastAsia" w:cs="Times New Roman"/>
                      <w:color w:val="auto"/>
                      <w:sz w:val="21"/>
                      <w:szCs w:val="21"/>
                      <w:lang w:eastAsia="zh-CN"/>
                    </w:rPr>
                    <w:t>粪</w:t>
                  </w:r>
                  <w:r>
                    <w:rPr>
                      <w:rFonts w:ascii="Times New Roman" w:hAnsi="Times New Roman" w:cs="Times New Roman"/>
                      <w:color w:val="auto"/>
                      <w:sz w:val="21"/>
                      <w:szCs w:val="21"/>
                    </w:rPr>
                    <w:t>大肠菌群</w:t>
                  </w:r>
                  <w:r>
                    <w:rPr>
                      <w:rFonts w:hint="eastAsia" w:ascii="Times New Roman" w:hAnsi="Times New Roman" w:cs="Times New Roman"/>
                      <w:color w:val="auto"/>
                      <w:sz w:val="21"/>
                      <w:szCs w:val="21"/>
                      <w:lang w:eastAsia="zh-CN"/>
                    </w:rPr>
                    <w:t>、六价铬、总铬、总镉、总砷、总汞、</w:t>
                  </w:r>
                  <w:r>
                    <w:rPr>
                      <w:rFonts w:hint="eastAsia" w:cs="Times New Roman"/>
                      <w:color w:val="auto"/>
                      <w:sz w:val="21"/>
                      <w:szCs w:val="21"/>
                      <w:lang w:eastAsia="zh-CN"/>
                    </w:rPr>
                    <w:t>总银、总铅、总氰化物、挥发酚、总余氯</w:t>
                  </w:r>
                  <w:r>
                    <w:rPr>
                      <w:color w:val="auto"/>
                      <w:sz w:val="21"/>
                      <w:szCs w:val="21"/>
                    </w:rPr>
                    <w:t>。</w:t>
                  </w:r>
                </w:p>
              </w:tc>
              <w:tc>
                <w:tcPr>
                  <w:tcW w:w="1474" w:type="dxa"/>
                  <w:vAlign w:val="center"/>
                </w:tcPr>
                <w:p>
                  <w:pPr>
                    <w:pStyle w:val="146"/>
                    <w:spacing w:line="360" w:lineRule="auto"/>
                    <w:rPr>
                      <w:color w:val="auto"/>
                      <w:sz w:val="21"/>
                      <w:szCs w:val="21"/>
                    </w:rPr>
                  </w:pPr>
                  <w:r>
                    <w:rPr>
                      <w:color w:val="auto"/>
                      <w:sz w:val="21"/>
                      <w:szCs w:val="21"/>
                    </w:rPr>
                    <w:t>按照国家相关要求</w:t>
                  </w:r>
                </w:p>
              </w:tc>
            </w:tr>
          </w:tbl>
          <w:p>
            <w:pPr>
              <w:pStyle w:val="34"/>
              <w:ind w:firstLine="482"/>
              <w:rPr>
                <w:rFonts w:hint="eastAsia" w:eastAsia="宋体"/>
                <w:color w:val="auto"/>
                <w:lang w:eastAsia="zh-CN"/>
              </w:rPr>
            </w:pPr>
            <w:r>
              <w:rPr>
                <w:rFonts w:hint="eastAsia"/>
                <w:color w:val="auto"/>
              </w:rPr>
              <w:t>（4）废水</w:t>
            </w:r>
            <w:r>
              <w:rPr>
                <w:rFonts w:hint="eastAsia"/>
                <w:color w:val="auto"/>
                <w:lang w:eastAsia="zh-CN"/>
              </w:rPr>
              <w:t>环境</w:t>
            </w:r>
            <w:r>
              <w:rPr>
                <w:rFonts w:hint="eastAsia"/>
                <w:color w:val="auto"/>
              </w:rPr>
              <w:t>影响评价</w:t>
            </w:r>
            <w:r>
              <w:rPr>
                <w:rFonts w:hint="eastAsia"/>
                <w:color w:val="auto"/>
                <w:lang w:eastAsia="zh-CN"/>
              </w:rPr>
              <w:t>及废水防治措施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rPr>
            </w:pPr>
            <w:r>
              <w:rPr>
                <w:rFonts w:hint="eastAsia"/>
                <w:color w:val="auto"/>
              </w:rPr>
              <w:t>本医院不设传染科、牙科，无传染病医院废水排放。项目执行雨污分流制，雨水经雨水管网收集后排入院外道路雨水管网。医学影像科采用DR成像技术，生成的图像为数字图像，可直接在电脑上显示出来，其照片的洗印采用“热感应数字化胶片”，出片用“数字化激光成像仪”，无废显影液、定影液产生，不产生传统的洗像重金属废水。</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rPr>
            </w:pPr>
            <w:r>
              <w:rPr>
                <w:rFonts w:hint="eastAsia"/>
                <w:color w:val="auto"/>
                <w:lang w:eastAsia="zh-CN"/>
              </w:rPr>
              <w:t>医院产生的检验废水，</w:t>
            </w:r>
            <w:r>
              <w:rPr>
                <w:rFonts w:hint="eastAsia" w:ascii="Times New Roman" w:hAnsi="Times New Roman"/>
                <w:color w:val="auto"/>
                <w:lang w:val="en-US" w:eastAsia="zh-CN"/>
              </w:rPr>
              <w:t>产生量为0.08</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w:t>
            </w:r>
            <w:r>
              <w:rPr>
                <w:rFonts w:hint="eastAsia" w:ascii="Times New Roman" w:hAnsi="Times New Roman"/>
                <w:color w:val="auto"/>
                <w:lang w:eastAsia="zh-CN"/>
              </w:rPr>
              <w:t>，</w:t>
            </w:r>
            <w:r>
              <w:rPr>
                <w:rFonts w:hint="eastAsia" w:ascii="Times New Roman" w:hAnsi="Times New Roman"/>
                <w:color w:val="auto"/>
                <w:lang w:val="en-US" w:eastAsia="zh-CN"/>
              </w:rPr>
              <w:t>29.2</w:t>
            </w:r>
            <w:r>
              <w:rPr>
                <w:rFonts w:ascii="Times New Roman" w:hAnsi="Times New Roman"/>
                <w:color w:val="auto"/>
              </w:rPr>
              <w:t>m</w:t>
            </w:r>
            <w:r>
              <w:rPr>
                <w:rFonts w:ascii="Times New Roman" w:hAnsi="Times New Roman"/>
                <w:color w:val="auto"/>
                <w:vertAlign w:val="superscript"/>
              </w:rPr>
              <w:t>3</w:t>
            </w:r>
            <w:r>
              <w:rPr>
                <w:rFonts w:hint="eastAsia" w:ascii="Times New Roman" w:hAnsi="Times New Roman"/>
                <w:color w:val="auto"/>
                <w:vertAlign w:val="baseline"/>
                <w:lang w:val="en-US" w:eastAsia="zh-CN"/>
              </w:rPr>
              <w:t>/a</w:t>
            </w:r>
            <w:r>
              <w:rPr>
                <w:rFonts w:hint="eastAsia" w:ascii="Times New Roman" w:hAnsi="Times New Roman"/>
                <w:color w:val="auto"/>
                <w:lang w:eastAsia="zh-CN"/>
              </w:rPr>
              <w:t>。</w:t>
            </w:r>
            <w:r>
              <w:rPr>
                <w:rFonts w:hint="eastAsia"/>
                <w:color w:val="auto"/>
                <w:lang w:eastAsia="zh-CN"/>
              </w:rPr>
              <w:t>本项目</w:t>
            </w:r>
            <w:r>
              <w:rPr>
                <w:rFonts w:hint="eastAsia"/>
                <w:color w:val="auto"/>
              </w:rPr>
              <w:t>不设置传染科，不涉及感染性毒性废物，故检验废水经单独收集消毒处理后，沿污水管网进入污水处理站处理。</w:t>
            </w:r>
          </w:p>
          <w:p>
            <w:pPr>
              <w:keepNext w:val="0"/>
              <w:keepLines w:val="0"/>
              <w:pageBreakBefore w:val="0"/>
              <w:widowControl w:val="0"/>
              <w:kinsoku/>
              <w:wordWrap/>
              <w:overflowPunct/>
              <w:topLinePunct w:val="0"/>
              <w:autoSpaceDE/>
              <w:autoSpaceDN/>
              <w:bidi w:val="0"/>
              <w:adjustRightInd/>
              <w:snapToGrid/>
              <w:ind w:firstLine="480"/>
              <w:textAlignment w:val="auto"/>
              <w:rPr>
                <w:color w:val="auto"/>
                <w:kern w:val="0"/>
              </w:rPr>
            </w:pPr>
            <w:r>
              <w:rPr>
                <w:rFonts w:hint="eastAsia"/>
                <w:color w:val="auto"/>
              </w:rPr>
              <w:t>医疗废水</w:t>
            </w:r>
            <w:r>
              <w:rPr>
                <w:rFonts w:hint="eastAsia"/>
                <w:color w:val="auto"/>
                <w:lang w:val="en-US" w:eastAsia="zh-CN"/>
              </w:rPr>
              <w:t>进入</w:t>
            </w:r>
            <w:r>
              <w:rPr>
                <w:rFonts w:hint="eastAsia"/>
                <w:color w:val="auto"/>
              </w:rPr>
              <w:t>化粪池处理，</w:t>
            </w:r>
            <w:r>
              <w:rPr>
                <w:rFonts w:hint="eastAsia"/>
                <w:color w:val="auto"/>
                <w:lang w:val="en-US" w:eastAsia="zh-CN"/>
              </w:rPr>
              <w:t>再</w:t>
            </w:r>
            <w:r>
              <w:rPr>
                <w:rFonts w:hint="eastAsia"/>
                <w:color w:val="auto"/>
              </w:rPr>
              <w:t>进入医院自建的一体化污水处理站处理达</w:t>
            </w:r>
            <w:r>
              <w:rPr>
                <w:rFonts w:hint="eastAsia" w:ascii="Times New Roman" w:hAnsi="Times New Roman" w:cs="Times New Roman"/>
                <w:color w:val="auto"/>
              </w:rPr>
              <w:t>《医疗机构水污染物排放标准》</w:t>
            </w:r>
            <w:r>
              <w:rPr>
                <w:rFonts w:hint="eastAsia" w:cs="Times New Roman"/>
                <w:color w:val="auto"/>
                <w:lang w:eastAsia="zh-CN"/>
              </w:rPr>
              <w:t>（</w:t>
            </w:r>
            <w:r>
              <w:rPr>
                <w:rFonts w:hint="eastAsia" w:ascii="Times New Roman" w:hAnsi="Times New Roman" w:cs="Times New Roman"/>
                <w:color w:val="auto"/>
              </w:rPr>
              <w:t>GB18466-2005</w:t>
            </w:r>
            <w:r>
              <w:rPr>
                <w:rFonts w:hint="eastAsia" w:cs="Times New Roman"/>
                <w:color w:val="auto"/>
                <w:lang w:val="en-US" w:eastAsia="zh-CN"/>
              </w:rPr>
              <w:t>）</w:t>
            </w:r>
            <w:r>
              <w:rPr>
                <w:rFonts w:hint="eastAsia" w:ascii="Times New Roman" w:hAnsi="Times New Roman" w:cs="Times New Roman"/>
                <w:color w:val="auto"/>
              </w:rPr>
              <w:t>表2中预处理标准</w:t>
            </w:r>
            <w:r>
              <w:rPr>
                <w:rFonts w:hint="eastAsia" w:ascii="Times New Roman" w:hAnsi="Times New Roman" w:cs="Times New Roman"/>
                <w:color w:val="auto"/>
                <w:lang w:val="en-US" w:eastAsia="zh-CN"/>
              </w:rPr>
              <w:t>和《污水排入城镇下水道水质标准》（</w:t>
            </w:r>
            <w:r>
              <w:rPr>
                <w:rFonts w:hint="default" w:ascii="Times New Roman" w:hAnsi="Times New Roman" w:cs="Times New Roman"/>
                <w:color w:val="auto"/>
                <w:lang w:val="en-US" w:eastAsia="zh-CN"/>
              </w:rPr>
              <w:t>GB/T31962-2015</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cs="Times New Roman"/>
                <w:color w:val="auto"/>
                <w:lang w:val="en-US" w:eastAsia="zh-CN"/>
              </w:rPr>
              <w:t>B等级</w:t>
            </w:r>
            <w:r>
              <w:rPr>
                <w:rFonts w:hint="eastAsia" w:ascii="Times New Roman" w:hAnsi="Times New Roman" w:cs="Times New Roman"/>
                <w:color w:val="auto"/>
                <w:lang w:val="en-US" w:eastAsia="zh-CN"/>
              </w:rPr>
              <w:t>）标准</w:t>
            </w:r>
            <w:r>
              <w:rPr>
                <w:rFonts w:hint="eastAsia" w:ascii="Times New Roman" w:hAnsi="Times New Roman" w:cs="Times New Roman"/>
                <w:color w:val="auto"/>
              </w:rPr>
              <w:t>后，排入</w:t>
            </w:r>
            <w:r>
              <w:rPr>
                <w:rFonts w:hint="eastAsia" w:cs="Times New Roman"/>
                <w:color w:val="auto"/>
                <w:lang w:val="en-US" w:eastAsia="zh-CN"/>
              </w:rPr>
              <w:t>姚安县</w:t>
            </w:r>
            <w:r>
              <w:rPr>
                <w:rFonts w:hint="eastAsia" w:ascii="Times New Roman" w:hAnsi="Times New Roman" w:cs="Times New Roman"/>
                <w:color w:val="auto"/>
              </w:rPr>
              <w:t>污水管网，最终进入</w:t>
            </w:r>
            <w:r>
              <w:rPr>
                <w:rFonts w:hint="eastAsia" w:cs="Times New Roman"/>
                <w:color w:val="auto"/>
                <w:lang w:val="en-US" w:eastAsia="zh-CN"/>
              </w:rPr>
              <w:t>姚安县</w:t>
            </w:r>
            <w:r>
              <w:rPr>
                <w:rFonts w:hint="eastAsia" w:ascii="Times New Roman" w:hAnsi="Times New Roman" w:cs="Times New Roman"/>
                <w:color w:val="auto"/>
              </w:rPr>
              <w:t>污水处理厂统一处理</w:t>
            </w:r>
            <w:r>
              <w:rPr>
                <w:rFonts w:hint="eastAsia"/>
                <w:color w:val="auto"/>
                <w:kern w:val="0"/>
              </w:rPr>
              <w:t>。</w:t>
            </w:r>
            <w:r>
              <w:rPr>
                <w:rFonts w:hint="eastAsia"/>
                <w:color w:val="auto"/>
              </w:rPr>
              <w:t>项目废水达标排放对周围环境及</w:t>
            </w:r>
            <w:r>
              <w:rPr>
                <w:rFonts w:hint="eastAsia"/>
                <w:color w:val="auto"/>
                <w:lang w:eastAsia="zh-CN"/>
              </w:rPr>
              <w:t>蜻岭河</w:t>
            </w:r>
            <w:r>
              <w:rPr>
                <w:rFonts w:hint="eastAsia"/>
                <w:color w:val="auto"/>
              </w:rPr>
              <w:t>影响较小。</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3</w:t>
            </w:r>
            <w:r>
              <w:rPr>
                <w:rFonts w:hint="eastAsia"/>
                <w:color w:val="auto"/>
              </w:rPr>
              <w:t>、噪声</w:t>
            </w:r>
          </w:p>
          <w:p>
            <w:pPr>
              <w:ind w:firstLine="480"/>
              <w:rPr>
                <w:b/>
                <w:bCs/>
                <w:color w:val="auto"/>
                <w:kern w:val="0"/>
              </w:rPr>
            </w:pPr>
            <w:r>
              <w:rPr>
                <w:rFonts w:hint="eastAsia"/>
                <w:b/>
                <w:bCs/>
                <w:color w:val="auto"/>
                <w:kern w:val="0"/>
                <w:lang w:val="en-US" w:eastAsia="zh-CN"/>
              </w:rPr>
              <w:t>（1）</w:t>
            </w:r>
            <w:r>
              <w:rPr>
                <w:b/>
                <w:bCs/>
                <w:color w:val="auto"/>
                <w:kern w:val="0"/>
              </w:rPr>
              <w:t>噪声源强分析</w:t>
            </w:r>
          </w:p>
          <w:p>
            <w:pPr>
              <w:ind w:firstLine="480"/>
              <w:rPr>
                <w:rFonts w:hint="eastAsia"/>
                <w:color w:val="auto"/>
                <w:kern w:val="0"/>
              </w:rPr>
            </w:pPr>
            <w:r>
              <w:rPr>
                <w:color w:val="auto"/>
                <w:kern w:val="0"/>
              </w:rPr>
              <w:t>本项目噪声</w:t>
            </w:r>
            <w:r>
              <w:rPr>
                <w:rFonts w:hint="eastAsia"/>
                <w:color w:val="auto"/>
                <w:kern w:val="0"/>
              </w:rPr>
              <w:t>来自</w:t>
            </w:r>
            <w:r>
              <w:rPr>
                <w:rFonts w:hint="eastAsia"/>
                <w:color w:val="auto"/>
                <w:kern w:val="0"/>
                <w:lang w:val="en-US" w:eastAsia="zh-CN"/>
              </w:rPr>
              <w:t>一体化污水处理站运行时的水泵、风机等噪声</w:t>
            </w:r>
            <w:r>
              <w:rPr>
                <w:rFonts w:hint="eastAsia"/>
                <w:color w:val="auto"/>
                <w:kern w:val="0"/>
                <w:lang w:eastAsia="zh-CN"/>
              </w:rPr>
              <w:t>，</w:t>
            </w:r>
            <w:r>
              <w:rPr>
                <w:color w:val="auto"/>
                <w:kern w:val="0"/>
              </w:rPr>
              <w:t>噪声源强</w:t>
            </w:r>
            <w:r>
              <w:rPr>
                <w:rFonts w:hint="eastAsia"/>
                <w:color w:val="auto"/>
                <w:kern w:val="0"/>
              </w:rPr>
              <w:t>下表</w:t>
            </w:r>
            <w:r>
              <w:rPr>
                <w:color w:val="auto"/>
                <w:kern w:val="0"/>
              </w:rPr>
              <w:t>。</w:t>
            </w:r>
          </w:p>
          <w:p>
            <w:pPr>
              <w:pStyle w:val="67"/>
              <w:spacing w:line="360" w:lineRule="auto"/>
              <w:ind w:firstLine="482"/>
              <w:rPr>
                <w:color w:val="auto"/>
                <w:kern w:val="0"/>
                <w:sz w:val="21"/>
                <w:szCs w:val="21"/>
              </w:rPr>
            </w:pPr>
            <w:r>
              <w:rPr>
                <w:color w:val="auto"/>
                <w:kern w:val="0"/>
                <w:sz w:val="21"/>
                <w:szCs w:val="21"/>
              </w:rPr>
              <w:t>表</w:t>
            </w:r>
            <w:r>
              <w:rPr>
                <w:rFonts w:hint="eastAsia"/>
                <w:color w:val="auto"/>
                <w:kern w:val="0"/>
                <w:sz w:val="21"/>
                <w:szCs w:val="21"/>
                <w:lang w:val="en-US" w:eastAsia="zh-CN"/>
              </w:rPr>
              <w:t>4-13</w:t>
            </w:r>
            <w:r>
              <w:rPr>
                <w:color w:val="auto"/>
                <w:kern w:val="0"/>
                <w:sz w:val="21"/>
                <w:szCs w:val="21"/>
              </w:rPr>
              <w:t xml:space="preserve"> 主要噪声源强一览表</w:t>
            </w:r>
          </w:p>
          <w:tbl>
            <w:tblPr>
              <w:tblStyle w:val="37"/>
              <w:tblW w:w="8521"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52"/>
              <w:gridCol w:w="1225"/>
              <w:gridCol w:w="3383"/>
              <w:gridCol w:w="1308"/>
              <w:gridCol w:w="135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b/>
                      <w:bCs/>
                      <w:color w:val="auto"/>
                      <w:sz w:val="21"/>
                      <w:szCs w:val="21"/>
                      <w:lang w:eastAsia="zh-CN"/>
                    </w:rPr>
                  </w:pPr>
                  <w:r>
                    <w:rPr>
                      <w:rFonts w:hint="eastAsia"/>
                      <w:b/>
                      <w:bCs/>
                      <w:color w:val="auto"/>
                      <w:sz w:val="21"/>
                      <w:szCs w:val="21"/>
                      <w:lang w:val="en-US" w:eastAsia="zh-CN"/>
                    </w:rPr>
                    <w:t>产噪设备</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b/>
                      <w:bCs/>
                      <w:color w:val="auto"/>
                      <w:sz w:val="21"/>
                      <w:szCs w:val="21"/>
                      <w:lang w:val="en-US" w:eastAsia="zh-CN"/>
                    </w:rPr>
                  </w:pPr>
                  <w:r>
                    <w:rPr>
                      <w:rFonts w:hint="eastAsia"/>
                      <w:b/>
                      <w:bCs/>
                      <w:color w:val="auto"/>
                      <w:sz w:val="21"/>
                      <w:szCs w:val="21"/>
                      <w:lang w:val="en-US" w:eastAsia="zh-CN"/>
                    </w:rPr>
                    <w:t>噪声源强</w:t>
                  </w:r>
                  <w:r>
                    <w:rPr>
                      <w:b/>
                      <w:bCs/>
                      <w:color w:val="auto"/>
                      <w:sz w:val="21"/>
                      <w:szCs w:val="21"/>
                    </w:rPr>
                    <w:t>（dB）</w:t>
                  </w:r>
                </w:p>
              </w:tc>
              <w:tc>
                <w:tcPr>
                  <w:tcW w:w="338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b/>
                      <w:bCs/>
                      <w:color w:val="auto"/>
                      <w:sz w:val="21"/>
                      <w:szCs w:val="21"/>
                      <w:lang w:eastAsia="zh-CN"/>
                    </w:rPr>
                  </w:pPr>
                  <w:r>
                    <w:rPr>
                      <w:rFonts w:hint="eastAsia"/>
                      <w:b/>
                      <w:bCs/>
                      <w:color w:val="auto"/>
                      <w:sz w:val="21"/>
                      <w:szCs w:val="21"/>
                      <w:lang w:val="en-US" w:eastAsia="zh-CN"/>
                    </w:rPr>
                    <w:t>降噪措施</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b/>
                      <w:bCs/>
                      <w:color w:val="auto"/>
                      <w:sz w:val="21"/>
                      <w:szCs w:val="21"/>
                    </w:rPr>
                  </w:pPr>
                  <w:r>
                    <w:rPr>
                      <w:rFonts w:hint="eastAsia"/>
                      <w:b/>
                      <w:bCs/>
                      <w:color w:val="auto"/>
                      <w:sz w:val="21"/>
                      <w:szCs w:val="21"/>
                      <w:lang w:val="en-US" w:eastAsia="zh-CN"/>
                    </w:rPr>
                    <w:t>排放源强</w:t>
                  </w:r>
                  <w:r>
                    <w:rPr>
                      <w:b/>
                      <w:bCs/>
                      <w:color w:val="auto"/>
                      <w:sz w:val="21"/>
                      <w:szCs w:val="21"/>
                    </w:rPr>
                    <w:t>（dB）</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b/>
                      <w:bCs/>
                      <w:color w:val="auto"/>
                      <w:sz w:val="21"/>
                      <w:szCs w:val="21"/>
                    </w:rPr>
                  </w:pPr>
                  <w:r>
                    <w:rPr>
                      <w:b/>
                      <w:bCs/>
                      <w:color w:val="auto"/>
                      <w:sz w:val="21"/>
                      <w:szCs w:val="21"/>
                    </w:rPr>
                    <w:t>噪声性质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水泵</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75</w:t>
                  </w:r>
                </w:p>
              </w:tc>
              <w:tc>
                <w:tcPr>
                  <w:tcW w:w="3383"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安装减震垫，房屋隔声、合理布局</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60</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风机</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80</w:t>
                  </w:r>
                </w:p>
              </w:tc>
              <w:tc>
                <w:tcPr>
                  <w:tcW w:w="3383"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安装减震垫，合理布局</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65</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柴油发电机</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95</w:t>
                  </w:r>
                </w:p>
              </w:tc>
              <w:tc>
                <w:tcPr>
                  <w:tcW w:w="338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置于地下一层，柴油发电机采用吸噪声设计</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65</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39" w:hRule="atLeast"/>
                <w:jc w:val="center"/>
              </w:trPr>
              <w:tc>
                <w:tcPr>
                  <w:tcW w:w="8521" w:type="dxa"/>
                  <w:gridSpan w:val="5"/>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注：一体化污水处理站本身设计已隔声，且位于地下一层，因此产生的噪声分贝较低。</w:t>
                  </w:r>
                </w:p>
              </w:tc>
            </w:tr>
          </w:tbl>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（2）</w:t>
            </w:r>
            <w:r>
              <w:rPr>
                <w:rFonts w:hint="eastAsia" w:ascii="宋体" w:hAnsi="宋体" w:eastAsia="宋体" w:cs="宋体"/>
                <w:b/>
                <w:bCs w:val="0"/>
                <w:color w:val="auto"/>
                <w:kern w:val="0"/>
                <w:sz w:val="24"/>
                <w:szCs w:val="24"/>
                <w:lang w:val="en-US" w:eastAsia="zh-CN" w:bidi="ar"/>
              </w:rPr>
              <w:t>噪声影响分析</w:t>
            </w:r>
          </w:p>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1）</w:t>
            </w:r>
            <w:r>
              <w:rPr>
                <w:rFonts w:hint="eastAsia" w:ascii="宋体" w:hAnsi="宋体" w:eastAsia="宋体" w:cs="宋体"/>
                <w:b/>
                <w:bCs w:val="0"/>
                <w:color w:val="auto"/>
                <w:kern w:val="0"/>
                <w:sz w:val="24"/>
                <w:szCs w:val="24"/>
                <w:lang w:val="en-US" w:eastAsia="zh-CN" w:bidi="ar"/>
              </w:rPr>
              <w:t xml:space="preserve">项目厂界噪声影响分析 </w:t>
            </w:r>
          </w:p>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①</w:t>
            </w:r>
            <w:r>
              <w:rPr>
                <w:rFonts w:hint="eastAsia" w:ascii="宋体" w:hAnsi="宋体" w:eastAsia="宋体" w:cs="宋体"/>
                <w:b/>
                <w:bCs w:val="0"/>
                <w:color w:val="auto"/>
                <w:kern w:val="0"/>
                <w:sz w:val="24"/>
                <w:szCs w:val="24"/>
                <w:lang w:val="en-US" w:eastAsia="zh-CN" w:bidi="ar"/>
              </w:rPr>
              <w:t>声环境影响预测</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a、噪声衰减预测模式</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噪声传播到受声点，受传播距离，空气吸收，阻挡物的反射与屏障等因素的影响而产生衰减。其预测模式如下：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A</w:t>
            </w:r>
            <w:r>
              <w:rPr>
                <w:rFonts w:hint="eastAsia" w:ascii="宋体" w:hAnsi="宋体" w:eastAsia="宋体" w:cs="宋体"/>
                <w:color w:val="auto"/>
                <w:kern w:val="0"/>
                <w:sz w:val="24"/>
                <w:szCs w:val="24"/>
                <w:vertAlign w:val="subscript"/>
                <w:lang w:val="en-US" w:eastAsia="zh-CN" w:bidi="ar"/>
              </w:rPr>
              <w:t>（</w:t>
            </w:r>
            <w:r>
              <w:rPr>
                <w:rFonts w:hint="default" w:ascii="Times New Roman" w:hAnsi="Times New Roman" w:eastAsia="宋体" w:cs="Times New Roman"/>
                <w:color w:val="auto"/>
                <w:kern w:val="0"/>
                <w:sz w:val="24"/>
                <w:szCs w:val="24"/>
                <w:vertAlign w:val="subscript"/>
                <w:lang w:val="en-US" w:eastAsia="zh-CN" w:bidi="ar"/>
              </w:rPr>
              <w:t>r</w:t>
            </w:r>
            <w:r>
              <w:rPr>
                <w:rFonts w:hint="eastAsia" w:ascii="宋体" w:hAnsi="宋体" w:eastAsia="宋体" w:cs="宋体"/>
                <w:color w:val="auto"/>
                <w:kern w:val="0"/>
                <w:sz w:val="24"/>
                <w:szCs w:val="24"/>
                <w:vertAlign w:val="subscript"/>
                <w:lang w:val="en-US" w:eastAsia="zh-CN" w:bidi="ar"/>
              </w:rPr>
              <w:t>）</w:t>
            </w: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A</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r</w:t>
            </w:r>
            <w:r>
              <w:rPr>
                <w:rFonts w:hint="default" w:ascii="Times New Roman" w:hAnsi="Times New Roman" w:eastAsia="宋体" w:cs="Times New Roman"/>
                <w:color w:val="auto"/>
                <w:kern w:val="0"/>
                <w:sz w:val="24"/>
                <w:szCs w:val="24"/>
                <w:vertAlign w:val="subscript"/>
                <w:lang w:val="en-US" w:eastAsia="zh-CN" w:bidi="ar"/>
              </w:rPr>
              <w:t>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 xml:space="preserve">A= Adiv+ Abar+Aatm+Agr+ Amisc </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LA (r)</w:t>
            </w:r>
            <w:r>
              <w:rPr>
                <w:rFonts w:hint="eastAsia" w:ascii="宋体" w:hAnsi="宋体" w:eastAsia="宋体" w:cs="宋体"/>
                <w:color w:val="auto"/>
                <w:kern w:val="0"/>
                <w:sz w:val="24"/>
                <w:szCs w:val="24"/>
                <w:lang w:val="en-US" w:eastAsia="zh-CN" w:bidi="ar"/>
              </w:rPr>
              <w:t>－距声源</w:t>
            </w:r>
            <w:r>
              <w:rPr>
                <w:rFonts w:hint="default" w:ascii="Times New Roman" w:hAnsi="Times New Roman" w:eastAsia="宋体" w:cs="Times New Roman"/>
                <w:color w:val="auto"/>
                <w:kern w:val="0"/>
                <w:sz w:val="24"/>
                <w:szCs w:val="24"/>
                <w:lang w:val="en-US" w:eastAsia="zh-CN" w:bidi="ar"/>
              </w:rPr>
              <w:t>r</w:t>
            </w:r>
            <w:r>
              <w:rPr>
                <w:rFonts w:hint="eastAsia" w:ascii="宋体" w:hAnsi="宋体" w:eastAsia="宋体" w:cs="宋体"/>
                <w:color w:val="auto"/>
                <w:kern w:val="0"/>
                <w:sz w:val="24"/>
                <w:szCs w:val="24"/>
                <w:lang w:val="en-US" w:eastAsia="zh-CN" w:bidi="ar"/>
              </w:rPr>
              <w:t>处的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LA (r0)</w:t>
            </w:r>
            <w:r>
              <w:rPr>
                <w:rFonts w:hint="eastAsia" w:ascii="宋体" w:hAnsi="宋体" w:eastAsia="宋体" w:cs="宋体"/>
                <w:color w:val="auto"/>
                <w:kern w:val="0"/>
                <w:sz w:val="24"/>
                <w:szCs w:val="24"/>
                <w:lang w:val="en-US" w:eastAsia="zh-CN" w:bidi="ar"/>
              </w:rPr>
              <w:t xml:space="preserve">－参考位置 </w:t>
            </w:r>
            <w:r>
              <w:rPr>
                <w:rFonts w:hint="default" w:ascii="Times New Roman" w:hAnsi="Times New Roman" w:eastAsia="宋体" w:cs="Times New Roman"/>
                <w:color w:val="auto"/>
                <w:kern w:val="0"/>
                <w:sz w:val="24"/>
                <w:szCs w:val="24"/>
                <w:lang w:val="en-US" w:eastAsia="zh-CN" w:bidi="ar"/>
              </w:rPr>
              <w:t xml:space="preserve">r0 </w:t>
            </w:r>
            <w:r>
              <w:rPr>
                <w:rFonts w:hint="eastAsia" w:ascii="宋体" w:hAnsi="宋体" w:eastAsia="宋体" w:cs="宋体"/>
                <w:color w:val="auto"/>
                <w:kern w:val="0"/>
                <w:sz w:val="24"/>
                <w:szCs w:val="24"/>
                <w:lang w:val="en-US" w:eastAsia="zh-CN" w:bidi="ar"/>
              </w:rPr>
              <w:t>处的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倍频带衰减，</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Adiv</w:t>
            </w:r>
            <w:r>
              <w:rPr>
                <w:rFonts w:hint="eastAsia" w:ascii="宋体" w:hAnsi="宋体" w:eastAsia="宋体" w:cs="宋体"/>
                <w:color w:val="auto"/>
                <w:kern w:val="0"/>
                <w:sz w:val="24"/>
                <w:szCs w:val="24"/>
                <w:lang w:val="en-US" w:eastAsia="zh-CN" w:bidi="ar"/>
              </w:rPr>
              <w:t>－几何发散所引起的倍频带衰减，即距离所引起的衰减，无指向性点声源几何发散衰减的基本公式为：</w:t>
            </w:r>
            <w:r>
              <w:rPr>
                <w:rFonts w:hint="default" w:ascii="Times New Roman" w:hAnsi="Times New Roman" w:eastAsia="宋体" w:cs="Times New Roman"/>
                <w:color w:val="auto"/>
                <w:kern w:val="0"/>
                <w:sz w:val="24"/>
                <w:szCs w:val="24"/>
                <w:lang w:val="en-US" w:eastAsia="zh-CN" w:bidi="ar"/>
              </w:rPr>
              <w:t>Adiv</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 lg(r /r0)</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Abar</w:t>
            </w:r>
            <w:r>
              <w:rPr>
                <w:rFonts w:hint="eastAsia" w:ascii="宋体" w:hAnsi="宋体" w:eastAsia="宋体" w:cs="宋体"/>
                <w:color w:val="auto"/>
                <w:kern w:val="0"/>
                <w:sz w:val="24"/>
                <w:szCs w:val="24"/>
                <w:lang w:val="en-US" w:eastAsia="zh-CN" w:bidi="ar"/>
              </w:rPr>
              <w:t xml:space="preserve">－屏障物所引起的倍频带衰减。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Aatm</w:t>
            </w:r>
            <w:r>
              <w:rPr>
                <w:rFonts w:hint="eastAsia" w:ascii="宋体" w:hAnsi="宋体" w:eastAsia="宋体" w:cs="宋体"/>
                <w:color w:val="auto"/>
                <w:kern w:val="0"/>
                <w:sz w:val="24"/>
                <w:szCs w:val="24"/>
                <w:lang w:val="en-US" w:eastAsia="zh-CN" w:bidi="ar"/>
              </w:rPr>
              <w:t xml:space="preserve">－空气吸收所引起的倍频带衰减，一般情况下可忽略不计。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Agr</w:t>
            </w:r>
            <w:r>
              <w:rPr>
                <w:rFonts w:hint="eastAsia" w:ascii="宋体" w:hAnsi="宋体" w:eastAsia="宋体" w:cs="宋体"/>
                <w:color w:val="auto"/>
                <w:kern w:val="0"/>
                <w:sz w:val="24"/>
                <w:szCs w:val="24"/>
                <w:lang w:val="en-US" w:eastAsia="zh-CN" w:bidi="ar"/>
              </w:rPr>
              <w:t xml:space="preserve">－地面效应所引起的倍频带衰减，本项目不考虑地面效应。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Amisc</w:t>
            </w:r>
            <w:r>
              <w:rPr>
                <w:rFonts w:hint="eastAsia" w:ascii="宋体" w:hAnsi="宋体" w:eastAsia="宋体" w:cs="宋体"/>
                <w:color w:val="auto"/>
                <w:kern w:val="0"/>
                <w:sz w:val="24"/>
                <w:szCs w:val="24"/>
                <w:lang w:val="en-US" w:eastAsia="zh-CN" w:bidi="ar"/>
              </w:rPr>
              <w:t xml:space="preserve">－其他多方面倍频带衰减，一般情况下的环境影响评价中，不需考虑附加影响。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b</w:t>
            </w:r>
            <w:r>
              <w:rPr>
                <w:rFonts w:hint="eastAsia" w:ascii="宋体" w:hAnsi="宋体" w:eastAsia="宋体" w:cs="宋体"/>
                <w:color w:val="auto"/>
                <w:kern w:val="0"/>
                <w:sz w:val="24"/>
                <w:szCs w:val="24"/>
                <w:lang w:val="en-US" w:eastAsia="zh-CN" w:bidi="ar"/>
              </w:rPr>
              <w:t>、预测点的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声级叠加公式： </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各受声点的声源叠加按下列公式计算：</w:t>
            </w:r>
          </w:p>
          <w:p>
            <w:pPr>
              <w:keepNext w:val="0"/>
              <w:keepLines w:val="0"/>
              <w:widowControl/>
              <w:suppressLineNumbers w:val="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drawing>
                <wp:inline distT="0" distB="0" distL="114300" distR="114300">
                  <wp:extent cx="1628775" cy="657225"/>
                  <wp:effectExtent l="0" t="0" r="9525" b="9525"/>
                  <wp:docPr id="2" name="图片 2" descr="162851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8510922(1)"/>
                          <pic:cNvPicPr>
                            <a:picLocks noChangeAspect="1"/>
                          </pic:cNvPicPr>
                        </pic:nvPicPr>
                        <pic:blipFill>
                          <a:blip r:embed="rId28"/>
                          <a:stretch>
                            <a:fillRect/>
                          </a:stretch>
                        </pic:blipFill>
                        <pic:spPr>
                          <a:xfrm>
                            <a:off x="0" y="0"/>
                            <a:ext cx="1628775" cy="657225"/>
                          </a:xfrm>
                          <a:prstGeom prst="rect">
                            <a:avLst/>
                          </a:prstGeom>
                        </pic:spPr>
                      </pic:pic>
                    </a:graphicData>
                  </a:graphic>
                </wp:inline>
              </w:drawing>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LA——</w:t>
            </w:r>
            <w:r>
              <w:rPr>
                <w:rFonts w:hint="eastAsia" w:ascii="宋体" w:hAnsi="宋体" w:eastAsia="宋体" w:cs="宋体"/>
                <w:color w:val="auto"/>
                <w:kern w:val="0"/>
                <w:sz w:val="24"/>
                <w:szCs w:val="24"/>
                <w:lang w:val="en-US" w:eastAsia="zh-CN" w:bidi="ar"/>
              </w:rPr>
              <w:t xml:space="preserve">距声源r处的总A声级；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n——</w:t>
            </w:r>
            <w:r>
              <w:rPr>
                <w:rFonts w:hint="eastAsia" w:ascii="宋体" w:hAnsi="宋体" w:eastAsia="宋体" w:cs="宋体"/>
                <w:color w:val="auto"/>
                <w:kern w:val="0"/>
                <w:sz w:val="24"/>
                <w:szCs w:val="24"/>
                <w:lang w:val="en-US" w:eastAsia="zh-CN" w:bidi="ar"/>
              </w:rPr>
              <w:t xml:space="preserve">声源数量；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Li——</w:t>
            </w:r>
            <w:r>
              <w:rPr>
                <w:rFonts w:hint="eastAsia" w:ascii="宋体" w:hAnsi="宋体" w:eastAsia="宋体" w:cs="宋体"/>
                <w:color w:val="auto"/>
                <w:kern w:val="0"/>
                <w:sz w:val="24"/>
                <w:szCs w:val="24"/>
                <w:lang w:val="en-US" w:eastAsia="zh-CN" w:bidi="ar"/>
              </w:rPr>
              <w:t xml:space="preserve">第 </w:t>
            </w:r>
            <w:r>
              <w:rPr>
                <w:rFonts w:hint="default" w:ascii="Times New Roman" w:hAnsi="Times New Roman" w:eastAsia="宋体" w:cs="Times New Roman"/>
                <w:color w:val="auto"/>
                <w:kern w:val="0"/>
                <w:sz w:val="24"/>
                <w:szCs w:val="24"/>
                <w:lang w:val="en-US" w:eastAsia="zh-CN" w:bidi="ar"/>
              </w:rPr>
              <w:t>i</w:t>
            </w:r>
            <w:r>
              <w:rPr>
                <w:rFonts w:hint="eastAsia" w:ascii="宋体" w:hAnsi="宋体" w:eastAsia="宋体" w:cs="宋体"/>
                <w:color w:val="auto"/>
                <w:kern w:val="0"/>
                <w:sz w:val="24"/>
                <w:szCs w:val="24"/>
                <w:lang w:val="en-US" w:eastAsia="zh-CN" w:bidi="ar"/>
              </w:rPr>
              <w:t>个声源的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rPr>
            </w:pPr>
            <w:r>
              <w:rPr>
                <w:rFonts w:hint="eastAsia" w:ascii="宋体" w:hAnsi="宋体" w:eastAsia="宋体" w:cs="宋体"/>
                <w:color w:val="auto"/>
                <w:kern w:val="0"/>
                <w:sz w:val="24"/>
                <w:szCs w:val="24"/>
                <w:lang w:val="en-US" w:eastAsia="zh-CN" w:bidi="ar"/>
              </w:rPr>
              <w:t>本项目噪声衰减除几何发散衰减后的其他衰减（包括空气吸收衰减、屏障物和地面效应引起的衰减、其他附加衰减）取值的因素很多，项目噪声源均在房屋内，本报告主要考虑墙壁隔声和距离衰减影响，墙体隔声衰减值取</w:t>
            </w:r>
            <w:r>
              <w:rPr>
                <w:rFonts w:hint="default" w:ascii="Times New Roman" w:hAnsi="Times New Roman" w:eastAsia="宋体" w:cs="Times New Roman"/>
                <w:color w:val="auto"/>
                <w:kern w:val="0"/>
                <w:sz w:val="24"/>
                <w:szCs w:val="24"/>
                <w:lang w:val="en-US" w:eastAsia="zh-CN" w:bidi="ar"/>
              </w:rPr>
              <w:t>15dB(A)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eastAsia" w:eastAsia="宋体" w:cs="Times New Roman"/>
                <w:b/>
                <w:color w:val="auto"/>
                <w:kern w:val="0"/>
                <w:sz w:val="24"/>
                <w:szCs w:val="24"/>
                <w:lang w:val="en-US" w:eastAsia="zh-CN" w:bidi="ar"/>
              </w:rPr>
              <w:t>②</w:t>
            </w:r>
            <w:r>
              <w:rPr>
                <w:rFonts w:hint="eastAsia" w:ascii="宋体" w:hAnsi="宋体" w:eastAsia="宋体" w:cs="宋体"/>
                <w:b/>
                <w:color w:val="auto"/>
                <w:kern w:val="0"/>
                <w:sz w:val="24"/>
                <w:szCs w:val="24"/>
                <w:lang w:val="en-US" w:eastAsia="zh-CN" w:bidi="ar"/>
              </w:rPr>
              <w:t>噪声影响预测及评价</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项目噪声源均在房屋内，本次环评按照全部设备同时使用，噪声源位于项目东面，由此预测项目厂界及其对敏感点噪声情况。</w:t>
            </w:r>
          </w:p>
          <w:p>
            <w:pPr>
              <w:keepNext w:val="0"/>
              <w:keepLines w:val="0"/>
              <w:widowControl/>
              <w:suppressLineNumbers w:val="0"/>
              <w:ind w:left="0" w:leftChars="0" w:firstLine="0" w:firstLineChars="0"/>
              <w:jc w:val="left"/>
              <w:rPr>
                <w:b w:val="0"/>
                <w:bCs/>
                <w:color w:val="auto"/>
              </w:rPr>
            </w:pPr>
            <w:r>
              <w:rPr>
                <w:rFonts w:hint="eastAsia" w:ascii="宋体" w:hAnsi="宋体" w:eastAsia="宋体" w:cs="宋体"/>
                <w:b w:val="0"/>
                <w:bCs/>
                <w:color w:val="auto"/>
                <w:kern w:val="0"/>
                <w:sz w:val="24"/>
                <w:szCs w:val="24"/>
                <w:lang w:val="en-US" w:eastAsia="zh-CN" w:bidi="ar"/>
              </w:rPr>
              <w:t>设备同时运转时的噪声预测预测值见表</w:t>
            </w:r>
            <w:r>
              <w:rPr>
                <w:rFonts w:hint="default" w:ascii="Times New Roman" w:hAnsi="Times New Roman" w:eastAsia="宋体" w:cs="Times New Roman"/>
                <w:b w:val="0"/>
                <w:bCs/>
                <w:color w:val="auto"/>
                <w:kern w:val="0"/>
                <w:sz w:val="24"/>
                <w:szCs w:val="24"/>
                <w:lang w:val="en-US" w:eastAsia="zh-CN" w:bidi="ar"/>
              </w:rPr>
              <w:t>4-</w:t>
            </w:r>
            <w:r>
              <w:rPr>
                <w:rFonts w:hint="eastAsia" w:eastAsia="宋体" w:cs="Times New Roman"/>
                <w:b w:val="0"/>
                <w:bCs/>
                <w:color w:val="auto"/>
                <w:kern w:val="0"/>
                <w:sz w:val="24"/>
                <w:szCs w:val="24"/>
                <w:lang w:val="en-US" w:eastAsia="zh-CN" w:bidi="ar"/>
              </w:rPr>
              <w:t>14</w:t>
            </w:r>
            <w:r>
              <w:rPr>
                <w:rFonts w:hint="eastAsia" w:ascii="宋体" w:hAnsi="宋体" w:eastAsia="宋体" w:cs="宋体"/>
                <w:b w:val="0"/>
                <w:bCs/>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表</w:t>
            </w:r>
            <w:r>
              <w:rPr>
                <w:rFonts w:hint="default" w:ascii="Times New Roman" w:hAnsi="Times New Roman" w:cs="Times New Roman"/>
                <w:b/>
                <w:bCs/>
                <w:color w:val="auto"/>
                <w:kern w:val="0"/>
                <w:sz w:val="21"/>
                <w:szCs w:val="21"/>
                <w:lang w:val="en-US" w:eastAsia="zh-CN"/>
              </w:rPr>
              <w:t>4-</w:t>
            </w:r>
            <w:r>
              <w:rPr>
                <w:rFonts w:hint="eastAsia" w:cs="Times New Roman"/>
                <w:b/>
                <w:bCs/>
                <w:color w:val="auto"/>
                <w:kern w:val="0"/>
                <w:sz w:val="21"/>
                <w:szCs w:val="21"/>
                <w:lang w:val="en-US" w:eastAsia="zh-CN"/>
              </w:rPr>
              <w:t>14</w:t>
            </w:r>
            <w:r>
              <w:rPr>
                <w:rFonts w:hint="default" w:ascii="Times New Roman" w:hAnsi="Times New Roman" w:cs="Times New Roman"/>
                <w:b/>
                <w:bCs/>
                <w:color w:val="auto"/>
                <w:kern w:val="0"/>
                <w:sz w:val="21"/>
                <w:szCs w:val="21"/>
              </w:rPr>
              <w:t xml:space="preserve"> </w:t>
            </w:r>
            <w:r>
              <w:rPr>
                <w:rFonts w:hint="default" w:ascii="Times New Roman" w:hAnsi="Times New Roman" w:eastAsia="宋体" w:cs="Times New Roman"/>
                <w:b/>
                <w:bCs/>
                <w:color w:val="auto"/>
                <w:kern w:val="0"/>
                <w:sz w:val="21"/>
                <w:szCs w:val="21"/>
                <w:lang w:val="en-US" w:eastAsia="zh-CN" w:bidi="ar"/>
              </w:rPr>
              <w:t>设备同时运转的噪声预测值 单位：dB（A）</w:t>
            </w:r>
          </w:p>
          <w:tbl>
            <w:tblPr>
              <w:tblStyle w:val="37"/>
              <w:tblW w:w="8522"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60"/>
              <w:gridCol w:w="1313"/>
              <w:gridCol w:w="1129"/>
              <w:gridCol w:w="2350"/>
              <w:gridCol w:w="1368"/>
              <w:gridCol w:w="170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序号</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设备名称</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噪声源强</w:t>
                  </w:r>
                </w:p>
              </w:tc>
              <w:tc>
                <w:tcPr>
                  <w:tcW w:w="235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eastAsia="zh-CN"/>
                    </w:rPr>
                  </w:pPr>
                  <w:r>
                    <w:rPr>
                      <w:rFonts w:hint="eastAsia"/>
                      <w:color w:val="auto"/>
                      <w:sz w:val="21"/>
                      <w:szCs w:val="21"/>
                      <w:lang w:val="en-US" w:eastAsia="zh-CN"/>
                    </w:rPr>
                    <w:t>降噪措施</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color w:val="auto"/>
                      <w:sz w:val="21"/>
                      <w:szCs w:val="21"/>
                    </w:rPr>
                  </w:pPr>
                  <w:r>
                    <w:rPr>
                      <w:rFonts w:hint="eastAsia"/>
                      <w:color w:val="auto"/>
                      <w:sz w:val="21"/>
                      <w:szCs w:val="21"/>
                      <w:lang w:val="en-US" w:eastAsia="zh-CN"/>
                    </w:rPr>
                    <w:t>噪声源强</w:t>
                  </w:r>
                </w:p>
              </w:tc>
              <w:tc>
                <w:tcPr>
                  <w:tcW w:w="170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叠加噪声源强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1</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水泵</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75</w:t>
                  </w:r>
                </w:p>
              </w:tc>
              <w:tc>
                <w:tcPr>
                  <w:tcW w:w="2350" w:type="dxa"/>
                  <w:vMerge w:val="restart"/>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安装减震垫，房屋隔声、合理布局</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60</w:t>
                  </w:r>
                </w:p>
              </w:tc>
              <w:tc>
                <w:tcPr>
                  <w:tcW w:w="1702" w:type="dxa"/>
                  <w:vMerge w:val="restart"/>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68.65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2</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风机</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80</w:t>
                  </w:r>
                </w:p>
              </w:tc>
              <w:tc>
                <w:tcPr>
                  <w:tcW w:w="2350" w:type="dxa"/>
                  <w:vMerge w:val="continue"/>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65</w:t>
                  </w:r>
                </w:p>
              </w:tc>
              <w:tc>
                <w:tcPr>
                  <w:tcW w:w="1702" w:type="dxa"/>
                  <w:vMerge w:val="continue"/>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3</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color w:val="auto"/>
                      <w:sz w:val="21"/>
                      <w:szCs w:val="21"/>
                      <w:lang w:val="en-US" w:eastAsia="zh-CN"/>
                    </w:rPr>
                  </w:pPr>
                  <w:r>
                    <w:rPr>
                      <w:rFonts w:hint="eastAsia"/>
                      <w:color w:val="auto"/>
                      <w:sz w:val="21"/>
                      <w:szCs w:val="21"/>
                      <w:lang w:val="en-US" w:eastAsia="zh-CN"/>
                    </w:rPr>
                    <w:t>柴油发电机</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95</w:t>
                  </w:r>
                </w:p>
              </w:tc>
              <w:tc>
                <w:tcPr>
                  <w:tcW w:w="2350"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color w:val="auto"/>
                      <w:sz w:val="21"/>
                      <w:szCs w:val="21"/>
                    </w:rPr>
                    <w:t>置于地下一层，柴油发电机采用吸噪声设计</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65</w:t>
                  </w:r>
                </w:p>
              </w:tc>
              <w:tc>
                <w:tcPr>
                  <w:tcW w:w="1702" w:type="dxa"/>
                  <w:vMerge w:val="continue"/>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p>
              </w:tc>
            </w:tr>
          </w:tbl>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2</w:t>
            </w:r>
            <w:r>
              <w:rPr>
                <w:rFonts w:hint="eastAsia" w:ascii="宋体" w:hAnsi="宋体" w:eastAsia="宋体" w:cs="宋体"/>
                <w:b/>
                <w:color w:val="auto"/>
                <w:kern w:val="0"/>
                <w:sz w:val="24"/>
                <w:szCs w:val="24"/>
                <w:lang w:val="en-US" w:eastAsia="zh-CN" w:bidi="ar"/>
              </w:rPr>
              <w:t>）厂界噪声贡献值预测</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根据项目平面布局，各噪声源与厂界距离及厂界噪声预测贡献值见表</w:t>
            </w:r>
            <w:r>
              <w:rPr>
                <w:rFonts w:hint="default" w:ascii="Times New Roman" w:hAnsi="Times New Roman" w:eastAsia="宋体" w:cs="Times New Roman"/>
                <w:color w:val="auto"/>
                <w:kern w:val="0"/>
                <w:sz w:val="24"/>
                <w:szCs w:val="24"/>
                <w:lang w:val="en-US" w:eastAsia="zh-CN" w:bidi="ar"/>
              </w:rPr>
              <w:t>4-</w:t>
            </w:r>
            <w:r>
              <w:rPr>
                <w:rFonts w:hint="eastAsia" w:eastAsia="宋体" w:cs="Times New Roman"/>
                <w:color w:val="auto"/>
                <w:kern w:val="0"/>
                <w:sz w:val="24"/>
                <w:szCs w:val="24"/>
                <w:lang w:val="en-US" w:eastAsia="zh-CN" w:bidi="ar"/>
              </w:rPr>
              <w:t>14</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w:t>
            </w:r>
            <w:r>
              <w:rPr>
                <w:rFonts w:hint="default" w:ascii="Times New Roman" w:hAnsi="Times New Roman" w:cs="Times New Roman"/>
                <w:b/>
                <w:bCs/>
                <w:color w:val="auto"/>
                <w:kern w:val="0"/>
                <w:sz w:val="21"/>
                <w:szCs w:val="21"/>
                <w:lang w:val="en-US" w:eastAsia="zh-CN"/>
              </w:rPr>
              <w:t>4-1</w:t>
            </w:r>
            <w:r>
              <w:rPr>
                <w:rFonts w:hint="eastAsia" w:cs="Times New Roman"/>
                <w:b/>
                <w:bCs/>
                <w:color w:val="auto"/>
                <w:kern w:val="0"/>
                <w:sz w:val="21"/>
                <w:szCs w:val="21"/>
                <w:lang w:val="en-US" w:eastAsia="zh-CN"/>
              </w:rPr>
              <w:t>5</w:t>
            </w:r>
            <w:r>
              <w:rPr>
                <w:rFonts w:hint="default" w:ascii="Times New Roman" w:hAnsi="Times New Roman" w:cs="Times New Roman"/>
                <w:b/>
                <w:bCs/>
                <w:color w:val="auto"/>
                <w:kern w:val="0"/>
                <w:sz w:val="21"/>
                <w:szCs w:val="21"/>
              </w:rPr>
              <w:t xml:space="preserve">  </w:t>
            </w:r>
            <w:r>
              <w:rPr>
                <w:rFonts w:hint="default" w:ascii="Times New Roman" w:hAnsi="Times New Roman" w:eastAsia="宋体" w:cs="Times New Roman"/>
                <w:b/>
                <w:bCs/>
                <w:color w:val="auto"/>
                <w:kern w:val="0"/>
                <w:sz w:val="21"/>
                <w:szCs w:val="21"/>
                <w:lang w:val="en-US" w:eastAsia="zh-CN" w:bidi="ar"/>
              </w:rPr>
              <w:t>噪声源与厂界距离一览表</w:t>
            </w:r>
          </w:p>
          <w:tbl>
            <w:tblPr>
              <w:tblStyle w:val="37"/>
              <w:tblW w:w="85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538"/>
              <w:gridCol w:w="1686"/>
              <w:gridCol w:w="1864"/>
              <w:gridCol w:w="1791"/>
              <w:gridCol w:w="162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项目名称</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东侧厂界</w:t>
                  </w:r>
                </w:p>
              </w:tc>
              <w:tc>
                <w:tcPr>
                  <w:tcW w:w="1864"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西侧厂界</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南侧厂界</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北侧厂界</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100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水泵</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30.45</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20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34.89</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28.63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20</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ascii="Times New Roman" w:hAnsi="Times New Roman" w:eastAsiaTheme="minorEastAsia" w:cstheme="minorBidi"/>
                      <w:color w:val="auto"/>
                      <w:kern w:val="2"/>
                      <w:sz w:val="21"/>
                      <w:szCs w:val="21"/>
                      <w:lang w:val="en-US" w:eastAsia="zh-CN" w:bidi="ar-SA"/>
                    </w:rPr>
                  </w:pPr>
                  <w:r>
                    <w:rPr>
                      <w:rFonts w:hint="eastAsia"/>
                      <w:color w:val="auto"/>
                      <w:sz w:val="21"/>
                      <w:szCs w:val="21"/>
                      <w:lang w:val="en-US" w:eastAsia="zh-CN"/>
                    </w:rPr>
                    <w:t>100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24</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12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风机</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38.97</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25</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37.39</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43.41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48</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60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柴油发电机</w:t>
                  </w:r>
                </w:p>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dB（A）</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31.37</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29.43</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35.45</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36.70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507" w:type="dxa"/>
                  <w:gridSpan w:val="5"/>
                  <w:tcBorders>
                    <w:right w:val="single" w:color="000000" w:sz="8" w:space="0"/>
                    <w:tl2br w:val="nil"/>
                    <w:tr2bl w:val="nil"/>
                  </w:tcBorders>
                  <w:vAlign w:val="center"/>
                </w:tcPr>
                <w:p>
                  <w:pPr>
                    <w:keepNext w:val="0"/>
                    <w:keepLines w:val="0"/>
                    <w:widowControl/>
                    <w:suppressLineNumbers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厂界执行标准：</w:t>
                  </w:r>
                  <w:r>
                    <w:rPr>
                      <w:rFonts w:hint="eastAsia" w:ascii="宋体" w:hAnsi="宋体" w:eastAsia="宋体" w:cs="宋体"/>
                      <w:color w:val="auto"/>
                      <w:kern w:val="0"/>
                      <w:sz w:val="21"/>
                      <w:szCs w:val="21"/>
                      <w:lang w:val="en-US" w:eastAsia="zh-CN" w:bidi="ar"/>
                    </w:rPr>
                    <w:t>昼间</w:t>
                  </w:r>
                  <w:r>
                    <w:rPr>
                      <w:rFonts w:hint="default" w:ascii="Times New Roman" w:hAnsi="Times New Roman" w:eastAsia="宋体" w:cs="Times New Roman"/>
                      <w:color w:val="auto"/>
                      <w:kern w:val="0"/>
                      <w:sz w:val="21"/>
                      <w:szCs w:val="21"/>
                      <w:lang w:val="en-US" w:eastAsia="zh-CN" w:bidi="ar"/>
                    </w:rPr>
                    <w:t>≤60</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，夜间≤</w:t>
                  </w:r>
                  <w:r>
                    <w:rPr>
                      <w:rFonts w:hint="default" w:ascii="Times New Roman" w:hAnsi="Times New Roman" w:eastAsia="宋体" w:cs="Times New Roman"/>
                      <w:color w:val="auto"/>
                      <w:kern w:val="0"/>
                      <w:sz w:val="21"/>
                      <w:szCs w:val="21"/>
                      <w:lang w:val="en-US" w:eastAsia="zh-CN" w:bidi="ar"/>
                    </w:rPr>
                    <w:t>50</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r>
          </w:tbl>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由表</w:t>
            </w:r>
            <w:r>
              <w:rPr>
                <w:rFonts w:hint="default" w:ascii="Times New Roman" w:hAnsi="Times New Roman" w:eastAsia="宋体" w:cs="Times New Roman"/>
                <w:color w:val="auto"/>
                <w:kern w:val="0"/>
                <w:sz w:val="24"/>
                <w:szCs w:val="24"/>
                <w:lang w:val="en-US" w:eastAsia="zh-CN" w:bidi="ar"/>
              </w:rPr>
              <w:t>4-</w:t>
            </w:r>
            <w:r>
              <w:rPr>
                <w:rFonts w:hint="eastAsia" w:eastAsia="宋体" w:cs="Times New Roman"/>
                <w:color w:val="auto"/>
                <w:kern w:val="0"/>
                <w:sz w:val="24"/>
                <w:szCs w:val="24"/>
                <w:lang w:val="en-US" w:eastAsia="zh-CN" w:bidi="ar"/>
              </w:rPr>
              <w:t>15</w:t>
            </w:r>
            <w:r>
              <w:rPr>
                <w:rFonts w:hint="eastAsia" w:ascii="宋体" w:hAnsi="宋体" w:eastAsia="宋体" w:cs="宋体"/>
                <w:color w:val="auto"/>
                <w:kern w:val="0"/>
                <w:sz w:val="24"/>
                <w:szCs w:val="24"/>
                <w:lang w:val="en-US" w:eastAsia="zh-CN" w:bidi="ar"/>
              </w:rPr>
              <w:t>可以看出，在安装减震垫，房屋隔声、合理布局、距离衰减、污水处理站采用地埋式的情况下，项目各个厂界噪声均可达到《工业企业厂界环境噪声排放标准》（</w:t>
            </w:r>
            <w:r>
              <w:rPr>
                <w:rFonts w:hint="default" w:ascii="Times New Roman" w:hAnsi="Times New Roman" w:eastAsia="宋体" w:cs="Times New Roman"/>
                <w:color w:val="auto"/>
                <w:kern w:val="0"/>
                <w:sz w:val="24"/>
                <w:szCs w:val="24"/>
                <w:lang w:val="en-US" w:eastAsia="zh-CN" w:bidi="ar"/>
              </w:rPr>
              <w:t>GB12348-2008</w:t>
            </w:r>
            <w:r>
              <w:rPr>
                <w:rFonts w:hint="eastAsia" w:ascii="宋体" w:hAnsi="宋体" w:eastAsia="宋体" w:cs="宋体"/>
                <w:color w:val="auto"/>
                <w:kern w:val="0"/>
                <w:sz w:val="24"/>
                <w:szCs w:val="24"/>
                <w:lang w:val="en-US" w:eastAsia="zh-CN" w:bidi="ar"/>
              </w:rPr>
              <w:t>）</w:t>
            </w:r>
            <w:r>
              <w:rPr>
                <w:rFonts w:hint="eastAsia"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类区标准要求，即：昼间≤</w:t>
            </w:r>
            <w:r>
              <w:rPr>
                <w:rFonts w:hint="default" w:ascii="Times New Roman" w:hAnsi="Times New Roman" w:eastAsia="宋体" w:cs="Times New Roman"/>
                <w:color w:val="auto"/>
                <w:kern w:val="0"/>
                <w:sz w:val="24"/>
                <w:szCs w:val="24"/>
                <w:lang w:val="en-US" w:eastAsia="zh-CN" w:bidi="ar"/>
              </w:rPr>
              <w:t>60dB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），夜间≤</w:t>
            </w:r>
            <w:r>
              <w:rPr>
                <w:rFonts w:hint="default" w:ascii="Times New Roman" w:hAnsi="Times New Roman" w:eastAsia="宋体" w:cs="Times New Roman"/>
                <w:color w:val="auto"/>
                <w:kern w:val="0"/>
                <w:sz w:val="24"/>
                <w:szCs w:val="24"/>
                <w:lang w:val="en-US" w:eastAsia="zh-CN" w:bidi="ar"/>
              </w:rPr>
              <w:t>50dB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3</w:t>
            </w:r>
            <w:r>
              <w:rPr>
                <w:rFonts w:hint="eastAsia" w:ascii="宋体" w:hAnsi="宋体" w:eastAsia="宋体" w:cs="宋体"/>
                <w:b/>
                <w:color w:val="auto"/>
                <w:kern w:val="0"/>
                <w:sz w:val="24"/>
                <w:szCs w:val="24"/>
                <w:lang w:val="en-US" w:eastAsia="zh-CN" w:bidi="ar"/>
              </w:rPr>
              <w:t>）敏感目标影响</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根据项目噪声预测，项目厂界四周各个厂界均可达到《工业企业厂界环境噪声排放标准》（</w:t>
            </w:r>
            <w:r>
              <w:rPr>
                <w:rFonts w:hint="default" w:ascii="Times New Roman" w:hAnsi="Times New Roman" w:eastAsia="宋体" w:cs="Times New Roman"/>
                <w:color w:val="auto"/>
                <w:kern w:val="0"/>
                <w:sz w:val="24"/>
                <w:szCs w:val="24"/>
                <w:lang w:val="en-US" w:eastAsia="zh-CN" w:bidi="ar"/>
              </w:rPr>
              <w:t>GB12348-2008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类区标准要求。因此，本项目噪声排放对敏感点影响较小。</w:t>
            </w:r>
          </w:p>
          <w:p>
            <w:pPr>
              <w:ind w:firstLine="482"/>
              <w:rPr>
                <w:b/>
                <w:bCs/>
                <w:color w:val="auto"/>
                <w:kern w:val="0"/>
                <w:szCs w:val="24"/>
              </w:rPr>
            </w:pPr>
            <w:r>
              <w:rPr>
                <w:rFonts w:hint="eastAsia" w:eastAsia="宋体" w:cs="Times New Roman"/>
                <w:b/>
                <w:bCs/>
                <w:color w:val="auto"/>
                <w:szCs w:val="24"/>
                <w:lang w:val="en-US" w:eastAsia="zh-CN"/>
              </w:rPr>
              <w:t>（3）</w:t>
            </w:r>
            <w:r>
              <w:rPr>
                <w:rFonts w:hint="eastAsia" w:eastAsia="宋体" w:cs="Times New Roman"/>
                <w:b/>
                <w:bCs/>
                <w:color w:val="auto"/>
                <w:szCs w:val="24"/>
              </w:rPr>
              <w:t>声</w:t>
            </w:r>
            <w:r>
              <w:rPr>
                <w:rFonts w:hint="eastAsia"/>
                <w:b/>
                <w:bCs/>
                <w:color w:val="auto"/>
                <w:kern w:val="0"/>
                <w:szCs w:val="24"/>
              </w:rPr>
              <w:t>环境监测计划</w:t>
            </w:r>
          </w:p>
          <w:p>
            <w:pPr>
              <w:ind w:firstLine="480"/>
              <w:rPr>
                <w:rFonts w:eastAsia="宋体" w:cs="Times New Roman"/>
                <w:bCs/>
                <w:color w:val="auto"/>
                <w:szCs w:val="24"/>
              </w:rPr>
            </w:pPr>
            <w:r>
              <w:rPr>
                <w:rFonts w:hint="eastAsia" w:eastAsia="宋体" w:cs="Times New Roman"/>
                <w:bCs/>
                <w:color w:val="auto"/>
                <w:szCs w:val="24"/>
              </w:rPr>
              <w:t>便于建设项目的环境管理，现将建设项目声环境监测计划列于表4-</w:t>
            </w:r>
            <w:r>
              <w:rPr>
                <w:rFonts w:hint="eastAsia" w:eastAsia="宋体" w:cs="Times New Roman"/>
                <w:bCs/>
                <w:color w:val="auto"/>
                <w:szCs w:val="24"/>
                <w:lang w:val="en-US" w:eastAsia="zh-CN"/>
              </w:rPr>
              <w:t>15</w:t>
            </w:r>
            <w:r>
              <w:rPr>
                <w:rFonts w:hint="eastAsia" w:eastAsia="宋体" w:cs="Times New Roman"/>
                <w:bCs/>
                <w:color w:val="auto"/>
                <w:szCs w:val="24"/>
              </w:rPr>
              <w:t>。</w:t>
            </w:r>
          </w:p>
          <w:p>
            <w:pPr>
              <w:pStyle w:val="67"/>
              <w:spacing w:line="360" w:lineRule="auto"/>
              <w:rPr>
                <w:color w:val="auto"/>
                <w:sz w:val="21"/>
                <w:szCs w:val="21"/>
              </w:rPr>
            </w:pPr>
            <w:r>
              <w:rPr>
                <w:color w:val="auto"/>
                <w:sz w:val="21"/>
                <w:szCs w:val="21"/>
              </w:rPr>
              <w:t>表</w:t>
            </w:r>
            <w:r>
              <w:rPr>
                <w:rFonts w:hint="eastAsia"/>
                <w:color w:val="auto"/>
                <w:sz w:val="21"/>
                <w:szCs w:val="21"/>
              </w:rPr>
              <w:t>4-</w:t>
            </w:r>
            <w:r>
              <w:rPr>
                <w:rFonts w:hint="eastAsia"/>
                <w:color w:val="auto"/>
                <w:sz w:val="21"/>
                <w:szCs w:val="21"/>
                <w:lang w:val="en-US" w:eastAsia="zh-CN"/>
              </w:rPr>
              <w:t>16</w:t>
            </w:r>
            <w:r>
              <w:rPr>
                <w:rFonts w:hint="eastAsia"/>
                <w:color w:val="auto"/>
                <w:sz w:val="21"/>
                <w:szCs w:val="21"/>
              </w:rPr>
              <w:t xml:space="preserve"> </w:t>
            </w:r>
            <w:r>
              <w:rPr>
                <w:color w:val="auto"/>
                <w:sz w:val="21"/>
                <w:szCs w:val="21"/>
              </w:rPr>
              <w:t xml:space="preserve"> </w:t>
            </w:r>
            <w:r>
              <w:rPr>
                <w:rFonts w:hint="eastAsia"/>
                <w:color w:val="auto"/>
                <w:sz w:val="21"/>
                <w:szCs w:val="21"/>
              </w:rPr>
              <w:t>声</w:t>
            </w:r>
            <w:r>
              <w:rPr>
                <w:color w:val="auto"/>
                <w:sz w:val="21"/>
                <w:szCs w:val="21"/>
              </w:rPr>
              <w:t>环境监测计划一览表</w:t>
            </w:r>
          </w:p>
          <w:tbl>
            <w:tblPr>
              <w:tblStyle w:val="37"/>
              <w:tblW w:w="84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082"/>
              <w:gridCol w:w="1293"/>
              <w:gridCol w:w="2827"/>
              <w:gridCol w:w="21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1139" w:type="dxa"/>
                  <w:tcBorders>
                    <w:tl2br w:val="nil"/>
                    <w:tr2bl w:val="nil"/>
                  </w:tcBorders>
                  <w:vAlign w:val="center"/>
                </w:tcPr>
                <w:p>
                  <w:pPr>
                    <w:pStyle w:val="146"/>
                    <w:spacing w:line="360" w:lineRule="auto"/>
                    <w:rPr>
                      <w:b/>
                      <w:bCs/>
                      <w:color w:val="auto"/>
                      <w:sz w:val="21"/>
                      <w:szCs w:val="21"/>
                    </w:rPr>
                  </w:pPr>
                  <w:r>
                    <w:rPr>
                      <w:rFonts w:hint="eastAsia"/>
                      <w:b/>
                      <w:bCs/>
                      <w:color w:val="auto"/>
                      <w:sz w:val="21"/>
                      <w:szCs w:val="21"/>
                    </w:rPr>
                    <w:t>监测时段</w:t>
                  </w:r>
                </w:p>
              </w:tc>
              <w:tc>
                <w:tcPr>
                  <w:tcW w:w="1082" w:type="dxa"/>
                  <w:tcBorders>
                    <w:tl2br w:val="nil"/>
                    <w:tr2bl w:val="nil"/>
                  </w:tcBorders>
                  <w:vAlign w:val="center"/>
                </w:tcPr>
                <w:p>
                  <w:pPr>
                    <w:pStyle w:val="146"/>
                    <w:spacing w:line="360" w:lineRule="auto"/>
                    <w:rPr>
                      <w:b/>
                      <w:bCs/>
                      <w:color w:val="auto"/>
                      <w:sz w:val="21"/>
                      <w:szCs w:val="21"/>
                    </w:rPr>
                  </w:pPr>
                  <w:r>
                    <w:rPr>
                      <w:rFonts w:hint="eastAsia"/>
                      <w:b/>
                      <w:bCs/>
                      <w:color w:val="auto"/>
                      <w:sz w:val="21"/>
                      <w:szCs w:val="21"/>
                    </w:rPr>
                    <w:t>监测项目</w:t>
                  </w:r>
                </w:p>
              </w:tc>
              <w:tc>
                <w:tcPr>
                  <w:tcW w:w="1293" w:type="dxa"/>
                  <w:tcBorders>
                    <w:tl2br w:val="nil"/>
                    <w:tr2bl w:val="nil"/>
                  </w:tcBorders>
                  <w:vAlign w:val="center"/>
                </w:tcPr>
                <w:p>
                  <w:pPr>
                    <w:pStyle w:val="146"/>
                    <w:spacing w:line="360" w:lineRule="auto"/>
                    <w:rPr>
                      <w:b/>
                      <w:bCs/>
                      <w:color w:val="auto"/>
                      <w:sz w:val="21"/>
                      <w:szCs w:val="21"/>
                    </w:rPr>
                  </w:pPr>
                  <w:r>
                    <w:rPr>
                      <w:b/>
                      <w:bCs/>
                      <w:color w:val="auto"/>
                      <w:sz w:val="21"/>
                      <w:szCs w:val="21"/>
                    </w:rPr>
                    <w:t>采样点</w:t>
                  </w:r>
                </w:p>
              </w:tc>
              <w:tc>
                <w:tcPr>
                  <w:tcW w:w="2827" w:type="dxa"/>
                  <w:tcBorders>
                    <w:tl2br w:val="nil"/>
                    <w:tr2bl w:val="nil"/>
                  </w:tcBorders>
                  <w:vAlign w:val="center"/>
                </w:tcPr>
                <w:p>
                  <w:pPr>
                    <w:pStyle w:val="146"/>
                    <w:spacing w:line="360" w:lineRule="auto"/>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因子</w:t>
                  </w:r>
                </w:p>
              </w:tc>
              <w:tc>
                <w:tcPr>
                  <w:tcW w:w="2112" w:type="dxa"/>
                  <w:tcBorders>
                    <w:tl2br w:val="nil"/>
                    <w:tr2bl w:val="nil"/>
                  </w:tcBorders>
                  <w:vAlign w:val="center"/>
                </w:tcPr>
                <w:p>
                  <w:pPr>
                    <w:pStyle w:val="146"/>
                    <w:spacing w:line="360" w:lineRule="auto"/>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频次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1139" w:type="dxa"/>
                  <w:tcBorders>
                    <w:tl2br w:val="nil"/>
                    <w:tr2bl w:val="nil"/>
                  </w:tcBorders>
                  <w:vAlign w:val="center"/>
                </w:tcPr>
                <w:p>
                  <w:pPr>
                    <w:pStyle w:val="146"/>
                    <w:spacing w:line="360" w:lineRule="auto"/>
                    <w:rPr>
                      <w:color w:val="auto"/>
                      <w:sz w:val="21"/>
                      <w:szCs w:val="21"/>
                    </w:rPr>
                  </w:pPr>
                  <w:r>
                    <w:rPr>
                      <w:color w:val="auto"/>
                      <w:sz w:val="21"/>
                      <w:szCs w:val="21"/>
                    </w:rPr>
                    <w:t>运营期</w:t>
                  </w:r>
                </w:p>
              </w:tc>
              <w:tc>
                <w:tcPr>
                  <w:tcW w:w="1082" w:type="dxa"/>
                  <w:tcBorders>
                    <w:tl2br w:val="nil"/>
                    <w:tr2bl w:val="nil"/>
                  </w:tcBorders>
                  <w:vAlign w:val="center"/>
                </w:tcPr>
                <w:p>
                  <w:pPr>
                    <w:pStyle w:val="146"/>
                    <w:spacing w:line="360" w:lineRule="auto"/>
                    <w:rPr>
                      <w:color w:val="auto"/>
                      <w:sz w:val="21"/>
                      <w:szCs w:val="21"/>
                    </w:rPr>
                  </w:pPr>
                  <w:r>
                    <w:rPr>
                      <w:color w:val="auto"/>
                      <w:sz w:val="21"/>
                      <w:szCs w:val="21"/>
                    </w:rPr>
                    <w:t>噪声</w:t>
                  </w:r>
                </w:p>
              </w:tc>
              <w:tc>
                <w:tcPr>
                  <w:tcW w:w="1293" w:type="dxa"/>
                  <w:tcBorders>
                    <w:tl2br w:val="nil"/>
                    <w:tr2bl w:val="nil"/>
                  </w:tcBorders>
                  <w:vAlign w:val="center"/>
                </w:tcPr>
                <w:p>
                  <w:pPr>
                    <w:pStyle w:val="146"/>
                    <w:spacing w:line="360" w:lineRule="auto"/>
                    <w:rPr>
                      <w:color w:val="auto"/>
                      <w:sz w:val="21"/>
                      <w:szCs w:val="21"/>
                    </w:rPr>
                  </w:pPr>
                  <w:r>
                    <w:rPr>
                      <w:color w:val="auto"/>
                      <w:sz w:val="21"/>
                      <w:szCs w:val="21"/>
                    </w:rPr>
                    <w:t>厂界四周</w:t>
                  </w:r>
                </w:p>
              </w:tc>
              <w:tc>
                <w:tcPr>
                  <w:tcW w:w="2827" w:type="dxa"/>
                  <w:tcBorders>
                    <w:tl2br w:val="nil"/>
                    <w:tr2bl w:val="nil"/>
                  </w:tcBorders>
                  <w:vAlign w:val="center"/>
                </w:tcPr>
                <w:p>
                  <w:pPr>
                    <w:pStyle w:val="146"/>
                    <w:spacing w:line="360" w:lineRule="auto"/>
                    <w:rPr>
                      <w:color w:val="auto"/>
                      <w:sz w:val="21"/>
                      <w:szCs w:val="21"/>
                    </w:rPr>
                  </w:pPr>
                  <w:r>
                    <w:rPr>
                      <w:color w:val="auto"/>
                      <w:sz w:val="21"/>
                      <w:szCs w:val="21"/>
                    </w:rPr>
                    <w:t>连续等效A声级</w:t>
                  </w:r>
                </w:p>
              </w:tc>
              <w:tc>
                <w:tcPr>
                  <w:tcW w:w="2112" w:type="dxa"/>
                  <w:tcBorders>
                    <w:tl2br w:val="nil"/>
                    <w:tr2bl w:val="nil"/>
                  </w:tcBorders>
                  <w:vAlign w:val="center"/>
                </w:tcPr>
                <w:p>
                  <w:pPr>
                    <w:pStyle w:val="146"/>
                    <w:spacing w:line="360" w:lineRule="auto"/>
                    <w:rPr>
                      <w:rFonts w:hint="default" w:eastAsia="宋体"/>
                      <w:color w:val="auto"/>
                      <w:sz w:val="21"/>
                      <w:szCs w:val="21"/>
                      <w:lang w:val="en-US" w:eastAsia="zh-CN"/>
                    </w:rPr>
                  </w:pPr>
                  <w:r>
                    <w:rPr>
                      <w:rFonts w:hint="eastAsia"/>
                      <w:color w:val="auto"/>
                      <w:sz w:val="21"/>
                      <w:szCs w:val="21"/>
                      <w:lang w:val="en-US" w:eastAsia="zh-CN"/>
                    </w:rPr>
                    <w:t>1次/季度</w:t>
                  </w:r>
                </w:p>
              </w:tc>
            </w:tr>
          </w:tbl>
          <w:p>
            <w:pPr>
              <w:pStyle w:val="34"/>
              <w:ind w:firstLine="482"/>
              <w:rPr>
                <w:color w:val="auto"/>
              </w:rPr>
            </w:pPr>
            <w:r>
              <w:rPr>
                <w:color w:val="auto"/>
              </w:rPr>
              <w:t>4</w:t>
            </w:r>
            <w:r>
              <w:rPr>
                <w:rFonts w:hint="eastAsia"/>
                <w:color w:val="auto"/>
              </w:rPr>
              <w:t>、固体废物</w:t>
            </w:r>
          </w:p>
          <w:p>
            <w:pPr>
              <w:ind w:firstLine="482"/>
              <w:rPr>
                <w:b/>
                <w:color w:val="auto"/>
              </w:rPr>
            </w:pPr>
            <w:r>
              <w:rPr>
                <w:rFonts w:hint="eastAsia"/>
                <w:b/>
                <w:color w:val="auto"/>
              </w:rPr>
              <w:t>（1）固体废物产生情况</w:t>
            </w:r>
          </w:p>
          <w:p>
            <w:pPr>
              <w:ind w:firstLine="480"/>
              <w:rPr>
                <w:color w:val="auto"/>
              </w:rPr>
            </w:pPr>
            <w:r>
              <w:rPr>
                <w:color w:val="auto"/>
              </w:rPr>
              <w:t>项目运营期产生的固体废物主要为医疗废物、废水处理站污泥及办公、生活垃圾</w:t>
            </w:r>
            <w:r>
              <w:rPr>
                <w:rFonts w:hint="eastAsia"/>
                <w:color w:val="auto"/>
              </w:rPr>
              <w:t>等</w:t>
            </w:r>
            <w:r>
              <w:rPr>
                <w:color w:val="auto"/>
                <w:szCs w:val="24"/>
              </w:rPr>
              <w:t>。</w:t>
            </w:r>
          </w:p>
          <w:p>
            <w:pPr>
              <w:pStyle w:val="28"/>
              <w:spacing w:after="0"/>
              <w:ind w:left="0" w:leftChars="0" w:firstLine="480"/>
              <w:rPr>
                <w:b/>
                <w:bCs/>
                <w:color w:val="auto"/>
                <w:sz w:val="24"/>
              </w:rPr>
            </w:pPr>
            <w:r>
              <w:rPr>
                <w:b/>
                <w:bCs/>
                <w:color w:val="auto"/>
                <w:sz w:val="24"/>
              </w:rPr>
              <w:fldChar w:fldCharType="begin"/>
            </w:r>
            <w:r>
              <w:rPr>
                <w:b/>
                <w:bCs/>
                <w:color w:val="auto"/>
                <w:sz w:val="24"/>
              </w:rPr>
              <w:instrText xml:space="preserve"> </w:instrText>
            </w:r>
            <w:r>
              <w:rPr>
                <w:rFonts w:hint="eastAsia"/>
                <w:b/>
                <w:bCs/>
                <w:color w:val="auto"/>
                <w:sz w:val="24"/>
              </w:rPr>
              <w:instrText xml:space="preserve">= 1 \* GB3</w:instrText>
            </w:r>
            <w:r>
              <w:rPr>
                <w:b/>
                <w:bCs/>
                <w:color w:val="auto"/>
                <w:sz w:val="24"/>
              </w:rPr>
              <w:instrText xml:space="preserve"> </w:instrText>
            </w:r>
            <w:r>
              <w:rPr>
                <w:b/>
                <w:bCs/>
                <w:color w:val="auto"/>
                <w:sz w:val="24"/>
              </w:rPr>
              <w:fldChar w:fldCharType="separate"/>
            </w:r>
            <w:r>
              <w:rPr>
                <w:rFonts w:hint="eastAsia"/>
                <w:b/>
                <w:bCs/>
                <w:color w:val="auto"/>
                <w:sz w:val="24"/>
              </w:rPr>
              <w:t>①</w:t>
            </w:r>
            <w:r>
              <w:rPr>
                <w:b/>
                <w:bCs/>
                <w:color w:val="auto"/>
                <w:sz w:val="24"/>
              </w:rPr>
              <w:fldChar w:fldCharType="end"/>
            </w:r>
            <w:r>
              <w:rPr>
                <w:b/>
                <w:bCs/>
                <w:color w:val="auto"/>
                <w:sz w:val="24"/>
              </w:rPr>
              <w:t>医疗废物</w:t>
            </w:r>
          </w:p>
          <w:p>
            <w:pPr>
              <w:keepNext w:val="0"/>
              <w:keepLines w:val="0"/>
              <w:widowControl/>
              <w:suppressLineNumbers w:val="0"/>
              <w:jc w:val="left"/>
              <w:rPr>
                <w:color w:val="auto"/>
              </w:rPr>
            </w:pPr>
            <w:r>
              <w:rPr>
                <w:rFonts w:hint="eastAsia"/>
                <w:color w:val="auto"/>
              </w:rPr>
              <w:t>项目医疗废物主要为废输液管、废输液袋、废针头</w:t>
            </w:r>
            <w:r>
              <w:rPr>
                <w:rFonts w:hint="eastAsia"/>
                <w:color w:val="auto"/>
                <w:lang w:eastAsia="zh-CN"/>
              </w:rPr>
              <w:t>、</w:t>
            </w:r>
            <w:r>
              <w:rPr>
                <w:rFonts w:hint="eastAsia"/>
                <w:color w:val="auto"/>
                <w:lang w:val="en-US" w:eastAsia="zh-CN"/>
              </w:rPr>
              <w:t>过期药品及病理性废物</w:t>
            </w:r>
            <w:r>
              <w:rPr>
                <w:rFonts w:hint="eastAsia"/>
                <w:color w:val="auto"/>
              </w:rPr>
              <w:t>。</w:t>
            </w:r>
          </w:p>
          <w:p>
            <w:pPr>
              <w:ind w:firstLine="480"/>
              <w:rPr>
                <w:rFonts w:hint="eastAsia"/>
                <w:color w:val="auto"/>
                <w:lang w:eastAsia="zh-CN"/>
              </w:rPr>
            </w:pPr>
            <w:r>
              <w:rPr>
                <w:color w:val="auto"/>
              </w:rPr>
              <w:t>参考《医疗废物集中焚烧处置工程建设技术规范》（HJ/T177—2005），病床的医疗废物产生量（公斤/天）=床位医疗废物产生系数（公斤/床·天）×床位数（床）×床位使用率（%）。根据第一次全国污染源普查城镇生活源产排污系数手册，医院医疗废物的产生系数为0.65kg/(床·d)，</w:t>
            </w:r>
            <w:r>
              <w:rPr>
                <w:rFonts w:hint="eastAsia"/>
                <w:color w:val="auto"/>
                <w:lang w:val="en-US" w:eastAsia="zh-CN"/>
              </w:rPr>
              <w:t>门诊</w:t>
            </w:r>
            <w:r>
              <w:rPr>
                <w:color w:val="auto"/>
              </w:rPr>
              <w:t>医疗废物的产生系数为0.</w:t>
            </w:r>
            <w:r>
              <w:rPr>
                <w:rFonts w:hint="eastAsia"/>
                <w:color w:val="auto"/>
                <w:lang w:val="en-US" w:eastAsia="zh-CN"/>
              </w:rPr>
              <w:t>02</w:t>
            </w:r>
            <w:r>
              <w:rPr>
                <w:color w:val="auto"/>
              </w:rPr>
              <w:t>kg/(</w:t>
            </w:r>
            <w:r>
              <w:rPr>
                <w:rFonts w:hint="eastAsia"/>
                <w:color w:val="auto"/>
                <w:lang w:val="en-US" w:eastAsia="zh-CN"/>
              </w:rPr>
              <w:t>人次</w:t>
            </w:r>
            <w:r>
              <w:rPr>
                <w:color w:val="auto"/>
              </w:rPr>
              <w:t>·d)，病床使用率</w:t>
            </w:r>
            <w:r>
              <w:rPr>
                <w:rFonts w:hint="eastAsia"/>
                <w:color w:val="auto"/>
                <w:lang w:val="en-US" w:eastAsia="zh-CN"/>
              </w:rPr>
              <w:t>及门诊就诊率均</w:t>
            </w:r>
            <w:r>
              <w:rPr>
                <w:color w:val="auto"/>
              </w:rPr>
              <w:t>按100%计算，则本项目病床医疗废物量为0</w:t>
            </w:r>
            <w:r>
              <w:rPr>
                <w:rFonts w:hint="eastAsia"/>
                <w:color w:val="auto"/>
              </w:rPr>
              <w:t>.65</w:t>
            </w:r>
            <w:r>
              <w:rPr>
                <w:color w:val="auto"/>
              </w:rPr>
              <w:t>×</w:t>
            </w:r>
            <w:r>
              <w:rPr>
                <w:rFonts w:hint="eastAsia"/>
                <w:color w:val="auto"/>
                <w:lang w:val="en-US" w:eastAsia="zh-CN"/>
              </w:rPr>
              <w:t>200</w:t>
            </w:r>
            <w:r>
              <w:rPr>
                <w:color w:val="auto"/>
              </w:rPr>
              <w:t>×100%=</w:t>
            </w:r>
            <w:r>
              <w:rPr>
                <w:rFonts w:hint="eastAsia"/>
                <w:color w:val="auto"/>
                <w:lang w:val="en-US" w:eastAsia="zh-CN"/>
              </w:rPr>
              <w:t>130</w:t>
            </w:r>
            <w:r>
              <w:rPr>
                <w:color w:val="auto"/>
              </w:rPr>
              <w:t>kg/d</w:t>
            </w:r>
            <w:r>
              <w:rPr>
                <w:rFonts w:hint="eastAsia"/>
                <w:color w:val="auto"/>
                <w:lang w:eastAsia="zh-CN"/>
              </w:rPr>
              <w:t>。</w:t>
            </w:r>
          </w:p>
          <w:p>
            <w:pPr>
              <w:ind w:firstLine="480"/>
              <w:rPr>
                <w:color w:val="auto"/>
              </w:rPr>
            </w:pPr>
            <w:r>
              <w:rPr>
                <w:color w:val="auto"/>
              </w:rPr>
              <w:t>门诊医疗废物产生量（公斤/天）=门诊医疗废物产生系数（公斤/人次·天）×门诊人数（人次），则本项目门诊医疗废物量=0.02×</w:t>
            </w:r>
            <w:r>
              <w:rPr>
                <w:rFonts w:hint="eastAsia"/>
                <w:color w:val="auto"/>
                <w:lang w:val="en-US" w:eastAsia="zh-CN"/>
              </w:rPr>
              <w:t>400</w:t>
            </w:r>
            <w:r>
              <w:rPr>
                <w:color w:val="auto"/>
              </w:rPr>
              <w:t>=</w:t>
            </w:r>
            <w:r>
              <w:rPr>
                <w:rFonts w:hint="eastAsia"/>
                <w:color w:val="auto"/>
                <w:lang w:val="en-US" w:eastAsia="zh-CN"/>
              </w:rPr>
              <w:t>8</w:t>
            </w:r>
            <w:r>
              <w:rPr>
                <w:color w:val="auto"/>
              </w:rPr>
              <w:t>kg/d。</w:t>
            </w:r>
          </w:p>
          <w:p>
            <w:pPr>
              <w:ind w:firstLine="480"/>
              <w:rPr>
                <w:color w:val="auto"/>
              </w:rPr>
            </w:pPr>
            <w:r>
              <w:rPr>
                <w:rFonts w:hint="eastAsia"/>
                <w:color w:val="auto"/>
                <w:lang w:val="en-US" w:eastAsia="zh-CN"/>
              </w:rPr>
              <w:t>检验废液产生量约为0.08t/d，根据《</w:t>
            </w:r>
            <w:r>
              <w:rPr>
                <w:rFonts w:hint="eastAsia"/>
                <w:color w:val="auto"/>
              </w:rPr>
              <w:t>国家危险废物名录（2021年版）</w:t>
            </w:r>
            <w:r>
              <w:rPr>
                <w:rFonts w:hint="eastAsia"/>
                <w:color w:val="auto"/>
                <w:lang w:val="en-US" w:eastAsia="zh-CN"/>
              </w:rPr>
              <w:t>》，检验废液属于医废，环评要求建设单位对检验废液采用</w:t>
            </w:r>
            <w:r>
              <w:rPr>
                <w:rFonts w:hint="eastAsia"/>
                <w:color w:val="auto"/>
              </w:rPr>
              <w:t>单独容器收集后</w:t>
            </w:r>
            <w:r>
              <w:rPr>
                <w:rFonts w:hint="eastAsia"/>
                <w:color w:val="auto"/>
                <w:lang w:val="en-US" w:eastAsia="zh-CN"/>
              </w:rPr>
              <w:t>暂存于医疗废物暂存间，委托有资质的单位定期清运处置</w:t>
            </w:r>
            <w:r>
              <w:rPr>
                <w:rFonts w:hint="eastAsia"/>
                <w:color w:val="auto"/>
              </w:rPr>
              <w:t>。</w:t>
            </w:r>
          </w:p>
          <w:p>
            <w:pPr>
              <w:pStyle w:val="67"/>
              <w:spacing w:line="360" w:lineRule="auto"/>
              <w:rPr>
                <w:color w:val="auto"/>
                <w:sz w:val="21"/>
                <w:szCs w:val="21"/>
              </w:rPr>
            </w:pPr>
            <w:r>
              <w:rPr>
                <w:rFonts w:hint="eastAsia"/>
                <w:color w:val="auto"/>
                <w:sz w:val="21"/>
                <w:szCs w:val="21"/>
              </w:rPr>
              <w:t>表4-</w:t>
            </w:r>
            <w:r>
              <w:rPr>
                <w:rFonts w:hint="eastAsia"/>
                <w:color w:val="auto"/>
                <w:sz w:val="21"/>
                <w:szCs w:val="21"/>
                <w:lang w:val="en-US" w:eastAsia="zh-CN"/>
              </w:rPr>
              <w:t>16</w:t>
            </w:r>
            <w:r>
              <w:rPr>
                <w:rFonts w:hint="eastAsia"/>
                <w:color w:val="auto"/>
                <w:sz w:val="21"/>
                <w:szCs w:val="21"/>
              </w:rPr>
              <w:t xml:space="preserve">  项目固体废物产</w:t>
            </w:r>
            <w:r>
              <w:rPr>
                <w:rFonts w:hint="eastAsia"/>
                <w:color w:val="auto"/>
                <w:sz w:val="21"/>
                <w:szCs w:val="21"/>
                <w:lang w:val="en-US" w:eastAsia="zh-CN"/>
              </w:rPr>
              <w:t>生量</w:t>
            </w:r>
            <w:r>
              <w:rPr>
                <w:rFonts w:hint="eastAsia"/>
                <w:color w:val="auto"/>
                <w:sz w:val="21"/>
                <w:szCs w:val="21"/>
              </w:rPr>
              <w:t>一览表</w:t>
            </w:r>
          </w:p>
          <w:tbl>
            <w:tblPr>
              <w:tblStyle w:val="37"/>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995"/>
              <w:gridCol w:w="1418"/>
              <w:gridCol w:w="982"/>
              <w:gridCol w:w="1022"/>
              <w:gridCol w:w="1079"/>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1595" w:type="dxa"/>
                  <w:gridSpan w:val="2"/>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产生</w:t>
                  </w:r>
                  <w:r>
                    <w:rPr>
                      <w:rFonts w:hint="default" w:ascii="Times New Roman" w:hAnsi="Times New Roman" w:cs="Times New Roman"/>
                      <w:b/>
                      <w:bCs/>
                      <w:color w:val="auto"/>
                      <w:sz w:val="21"/>
                      <w:szCs w:val="21"/>
                    </w:rPr>
                    <w:t>部位</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产生系数</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病床</w:t>
                  </w:r>
                  <w:r>
                    <w:rPr>
                      <w:rFonts w:hint="default" w:ascii="Times New Roman" w:hAnsi="Times New Roman" w:cs="Times New Roman"/>
                      <w:b/>
                      <w:bCs/>
                      <w:color w:val="auto"/>
                      <w:sz w:val="21"/>
                      <w:szCs w:val="21"/>
                    </w:rPr>
                    <w:t>数量</w:t>
                  </w:r>
                </w:p>
              </w:tc>
              <w:tc>
                <w:tcPr>
                  <w:tcW w:w="2101" w:type="dxa"/>
                  <w:gridSpan w:val="2"/>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医疗废物产生数量</w:t>
                  </w:r>
                </w:p>
              </w:tc>
              <w:tc>
                <w:tcPr>
                  <w:tcW w:w="23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600" w:type="dxa"/>
                  <w:vMerge w:val="restart"/>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医疗</w:t>
                  </w:r>
                  <w:r>
                    <w:rPr>
                      <w:rFonts w:hint="default" w:ascii="Times New Roman" w:hAnsi="Times New Roman" w:cs="Times New Roman"/>
                      <w:color w:val="auto"/>
                      <w:sz w:val="21"/>
                      <w:szCs w:val="21"/>
                      <w:lang w:val="en-US" w:eastAsia="zh-CN"/>
                    </w:rPr>
                    <w:t>废物</w:t>
                  </w:r>
                </w:p>
              </w:tc>
              <w:tc>
                <w:tcPr>
                  <w:tcW w:w="9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住院病床</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0.65kg/(床·d)</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102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130</w:t>
                  </w:r>
                  <w:r>
                    <w:rPr>
                      <w:rFonts w:hint="default" w:ascii="Times New Roman" w:hAnsi="Times New Roman" w:cs="Times New Roman"/>
                      <w:color w:val="auto"/>
                      <w:sz w:val="21"/>
                      <w:szCs w:val="21"/>
                    </w:rPr>
                    <w:t>kg/d</w:t>
                  </w:r>
                </w:p>
              </w:tc>
              <w:tc>
                <w:tcPr>
                  <w:tcW w:w="1079"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47.45t/a</w:t>
                  </w:r>
                </w:p>
              </w:tc>
              <w:tc>
                <w:tcPr>
                  <w:tcW w:w="2395" w:type="dxa"/>
                  <w:vMerge w:val="restart"/>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委托有资质的医疗废物处置单位进行清运处置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600"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p>
              </w:tc>
              <w:tc>
                <w:tcPr>
                  <w:tcW w:w="9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门诊</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kg/(</w:t>
                  </w:r>
                  <w:r>
                    <w:rPr>
                      <w:rFonts w:hint="default" w:ascii="Times New Roman" w:hAnsi="Times New Roman" w:cs="Times New Roman"/>
                      <w:color w:val="auto"/>
                      <w:sz w:val="21"/>
                      <w:szCs w:val="21"/>
                      <w:lang w:val="en-US" w:eastAsia="zh-CN"/>
                    </w:rPr>
                    <w:t>人次</w:t>
                  </w:r>
                  <w:r>
                    <w:rPr>
                      <w:rFonts w:hint="default" w:ascii="Times New Roman" w:hAnsi="Times New Roman" w:cs="Times New Roman"/>
                      <w:color w:val="auto"/>
                      <w:sz w:val="21"/>
                      <w:szCs w:val="21"/>
                    </w:rPr>
                    <w:t>·d)</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400</w:t>
                  </w:r>
                </w:p>
              </w:tc>
              <w:tc>
                <w:tcPr>
                  <w:tcW w:w="102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kg/d</w:t>
                  </w:r>
                </w:p>
              </w:tc>
              <w:tc>
                <w:tcPr>
                  <w:tcW w:w="1079"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2.92t/a</w:t>
                  </w:r>
                </w:p>
              </w:tc>
              <w:tc>
                <w:tcPr>
                  <w:tcW w:w="2395" w:type="dxa"/>
                  <w:vMerge w:val="continue"/>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则项目医疗废物产生量为</w:t>
            </w:r>
            <w:r>
              <w:rPr>
                <w:rFonts w:hint="default" w:ascii="Times New Roman" w:hAnsi="Times New Roman" w:cs="Times New Roman" w:eastAsiaTheme="minorEastAsia"/>
                <w:color w:val="auto"/>
                <w:lang w:val="en-US" w:eastAsia="zh-CN"/>
              </w:rPr>
              <w:t>138</w:t>
            </w:r>
            <w:r>
              <w:rPr>
                <w:rFonts w:hint="default" w:ascii="Times New Roman" w:hAnsi="Times New Roman" w:cs="Times New Roman" w:eastAsiaTheme="minorEastAsia"/>
                <w:color w:val="auto"/>
              </w:rPr>
              <w:t>kg/d，约</w:t>
            </w:r>
            <w:r>
              <w:rPr>
                <w:rFonts w:hint="default" w:ascii="Times New Roman" w:hAnsi="Times New Roman" w:cs="Times New Roman" w:eastAsiaTheme="minorEastAsia"/>
                <w:color w:val="auto"/>
                <w:lang w:val="en-US" w:eastAsia="zh-CN"/>
              </w:rPr>
              <w:t>50.37</w:t>
            </w:r>
            <w:r>
              <w:rPr>
                <w:rFonts w:hint="default" w:ascii="Times New Roman" w:hAnsi="Times New Roman" w:cs="Times New Roman" w:eastAsiaTheme="minorEastAsia"/>
                <w:color w:val="auto"/>
              </w:rPr>
              <w:t>t/a。</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auto"/>
                <w:highlight w:val="yellow"/>
                <w:lang w:eastAsia="zh-CN"/>
              </w:rPr>
            </w:pPr>
            <w:r>
              <w:rPr>
                <w:rFonts w:hint="default" w:ascii="Times New Roman" w:hAnsi="Times New Roman" w:cs="Times New Roman" w:eastAsiaTheme="minorEastAsia"/>
                <w:color w:val="auto"/>
              </w:rPr>
              <w:t>根据</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关于印发医疗废物分类目录（2021年版）的通知</w:t>
            </w:r>
            <w:r>
              <w:rPr>
                <w:rFonts w:hint="default" w:ascii="Times New Roman" w:hAnsi="Times New Roman" w:cs="Times New Roman" w:eastAsiaTheme="minorEastAsia"/>
                <w:color w:val="auto"/>
                <w:lang w:eastAsia="zh-CN"/>
              </w:rPr>
              <w:t>》（国卫医函〔2021〕238号）</w:t>
            </w:r>
            <w:r>
              <w:rPr>
                <w:rFonts w:hint="default" w:ascii="Times New Roman" w:hAnsi="Times New Roman" w:cs="Times New Roman" w:eastAsiaTheme="minorEastAsia"/>
                <w:color w:val="auto"/>
              </w:rPr>
              <w:t>，医疗废物分为感染性废物、病理性废物、损伤性废物、药物性废物和化学性废物五大类。</w:t>
            </w:r>
            <w:r>
              <w:rPr>
                <w:rFonts w:hint="eastAsia" w:ascii="Times New Roman" w:hAnsi="Times New Roman" w:cs="Times New Roman"/>
                <w:color w:val="auto"/>
                <w:lang w:val="en-US" w:eastAsia="zh-CN"/>
              </w:rPr>
              <w:t>本项目将产生五种医疗废物，其中感染性废物、损伤性废物、药物性废物和化学性废物，</w:t>
            </w:r>
            <w:r>
              <w:rPr>
                <w:rFonts w:hint="default" w:ascii="Times New Roman" w:hAnsi="Times New Roman" w:cs="Times New Roman" w:eastAsiaTheme="minorEastAsia"/>
                <w:color w:val="auto"/>
                <w:lang w:val="en-US" w:eastAsia="zh-CN"/>
              </w:rPr>
              <w:t>送至医疗废物暂存间</w:t>
            </w:r>
            <w:r>
              <w:rPr>
                <w:rFonts w:hint="default" w:ascii="Times New Roman" w:hAnsi="Times New Roman" w:cs="Times New Roman" w:eastAsiaTheme="minorEastAsia"/>
                <w:color w:val="auto"/>
                <w:lang w:eastAsia="zh-CN"/>
              </w:rPr>
              <w:t>委托有资质的单位</w:t>
            </w:r>
            <w:r>
              <w:rPr>
                <w:rFonts w:hint="default" w:ascii="Times New Roman" w:hAnsi="Times New Roman" w:cs="Times New Roman" w:eastAsiaTheme="minorEastAsia"/>
                <w:color w:val="auto"/>
              </w:rPr>
              <w:t>处置</w:t>
            </w:r>
            <w:r>
              <w:rPr>
                <w:rFonts w:hint="default" w:ascii="Times New Roman" w:hAnsi="Times New Roman" w:cs="Times New Roman" w:eastAsiaTheme="minorEastAsia"/>
                <w:color w:val="auto"/>
                <w:lang w:eastAsia="zh-CN"/>
              </w:rPr>
              <w:t>，病理性</w:t>
            </w:r>
            <w:r>
              <w:rPr>
                <w:rFonts w:hint="default" w:ascii="Times New Roman" w:hAnsi="Times New Roman" w:cs="Times New Roman" w:eastAsiaTheme="minorEastAsia"/>
                <w:color w:val="auto"/>
                <w:highlight w:val="none"/>
                <w:lang w:eastAsia="zh-CN"/>
              </w:rPr>
              <w:t>废物委托姚安县殡仪馆处置。</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eastAsia="zh-CN"/>
              </w:rPr>
              <w:t>表</w:t>
            </w:r>
            <w:r>
              <w:rPr>
                <w:rFonts w:hint="eastAsia" w:ascii="Times New Roman" w:hAnsi="Times New Roman" w:cs="Times New Roman"/>
                <w:b/>
                <w:bCs/>
                <w:color w:val="auto"/>
                <w:sz w:val="21"/>
                <w:szCs w:val="21"/>
                <w:highlight w:val="none"/>
                <w:lang w:val="en-US" w:eastAsia="zh-CN"/>
              </w:rPr>
              <w:t>4-17医疗废物收集、转运及暂存要求情况表</w:t>
            </w:r>
          </w:p>
          <w:tbl>
            <w:tblPr>
              <w:tblStyle w:val="37"/>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2022"/>
              <w:gridCol w:w="1267"/>
              <w:gridCol w:w="1624"/>
              <w:gridCol w:w="2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医废类别</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分类收集</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暂存位置</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暂存温度</w:t>
                  </w:r>
                </w:p>
              </w:tc>
              <w:tc>
                <w:tcPr>
                  <w:tcW w:w="229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感染性废物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医废专用黄色包装</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感染性废物暂存区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委托</w:t>
                  </w:r>
                  <w:r>
                    <w:rPr>
                      <w:rFonts w:hint="eastAsia" w:eastAsia="宋体"/>
                      <w:color w:val="auto"/>
                      <w:sz w:val="21"/>
                      <w:lang w:eastAsia="zh-CN"/>
                    </w:rPr>
                    <w:t>有资质的单位</w:t>
                  </w:r>
                  <w:r>
                    <w:rPr>
                      <w:rFonts w:hint="eastAsia" w:eastAsia="宋体"/>
                      <w:color w:val="auto"/>
                      <w:sz w:val="21"/>
                    </w:rPr>
                    <w:t>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损伤性废物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医废专用黄色利器</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盒收集，装入周转箱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损伤性废物暂存区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病理性废物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w:t>
                  </w:r>
                </w:p>
                <w:p>
                  <w:pPr>
                    <w:pStyle w:val="167"/>
                    <w:spacing w:before="4" w:line="360" w:lineRule="auto"/>
                    <w:ind w:left="0" w:leftChars="0" w:right="0" w:rightChars="0" w:firstLine="0" w:firstLineChars="0"/>
                    <w:jc w:val="center"/>
                    <w:rPr>
                      <w:rFonts w:hint="eastAsia" w:eastAsia="宋体"/>
                      <w:color w:val="auto"/>
                      <w:sz w:val="21"/>
                      <w:lang w:eastAsia="zh-CN"/>
                    </w:rPr>
                  </w:pPr>
                  <w:r>
                    <w:rPr>
                      <w:rFonts w:hint="eastAsia" w:eastAsia="宋体"/>
                      <w:color w:val="auto"/>
                      <w:sz w:val="21"/>
                    </w:rPr>
                    <w:t>袋收集，装入周转箱</w:t>
                  </w:r>
                  <w:r>
                    <w:rPr>
                      <w:rFonts w:hint="eastAsia" w:eastAsia="宋体"/>
                      <w:color w:val="auto"/>
                      <w:sz w:val="21"/>
                      <w:lang w:eastAsia="zh-CN"/>
                    </w:rPr>
                    <w:t>。或暂存于冰箱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病理性废物暂存区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-4℃</w:t>
                  </w:r>
                </w:p>
              </w:tc>
              <w:tc>
                <w:tcPr>
                  <w:tcW w:w="229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eastAsia="宋体"/>
                      <w:color w:val="auto"/>
                      <w:sz w:val="21"/>
                    </w:rPr>
                  </w:pPr>
                  <w:r>
                    <w:rPr>
                      <w:rFonts w:hint="eastAsia" w:eastAsia="宋体"/>
                      <w:color w:val="auto"/>
                      <w:sz w:val="21"/>
                    </w:rPr>
                    <w:t>委托姚安县殡仪馆处置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化学性废物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化学性废物暂存区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eastAsia="宋体"/>
                      <w:color w:val="auto"/>
                      <w:sz w:val="21"/>
                    </w:rPr>
                  </w:pPr>
                  <w:r>
                    <w:rPr>
                      <w:rFonts w:hint="eastAsia" w:eastAsia="宋体"/>
                      <w:color w:val="auto"/>
                      <w:sz w:val="21"/>
                    </w:rPr>
                    <w:t>委托有资质的单位清运处置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药物性废物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药物性废物暂存区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p>
              </w:tc>
            </w:tr>
          </w:tbl>
          <w:p>
            <w:pPr>
              <w:ind w:firstLine="480"/>
              <w:jc w:val="both"/>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办公、生活垃圾</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本项目共有职工</w:t>
            </w:r>
            <w:r>
              <w:rPr>
                <w:rFonts w:hint="default" w:ascii="Times New Roman" w:hAnsi="Times New Roman" w:cs="Times New Roman"/>
                <w:color w:val="auto"/>
                <w:lang w:val="en-US" w:eastAsia="zh-CN"/>
              </w:rPr>
              <w:t>55</w:t>
            </w:r>
            <w:r>
              <w:rPr>
                <w:rFonts w:hint="default" w:ascii="Times New Roman" w:hAnsi="Times New Roman" w:cs="Times New Roman"/>
                <w:color w:val="auto"/>
              </w:rPr>
              <w:t>名，接诊</w:t>
            </w:r>
            <w:r>
              <w:rPr>
                <w:rFonts w:hint="default" w:ascii="Times New Roman" w:hAnsi="Times New Roman" w:cs="Times New Roman"/>
                <w:color w:val="auto"/>
                <w:lang w:val="en-US" w:eastAsia="zh-CN"/>
              </w:rPr>
              <w:t>400</w:t>
            </w:r>
            <w:r>
              <w:rPr>
                <w:rFonts w:hint="default" w:ascii="Times New Roman" w:hAnsi="Times New Roman" w:cs="Times New Roman"/>
                <w:color w:val="auto"/>
              </w:rPr>
              <w:t>余次</w:t>
            </w:r>
            <w:r>
              <w:rPr>
                <w:rFonts w:hint="default" w:ascii="Times New Roman" w:hAnsi="Times New Roman" w:cs="Times New Roman"/>
                <w:color w:val="auto"/>
                <w:lang w:val="en-US" w:eastAsia="zh-CN"/>
              </w:rPr>
              <w:t>/天</w:t>
            </w:r>
            <w:r>
              <w:rPr>
                <w:rFonts w:hint="default" w:ascii="Times New Roman" w:hAnsi="Times New Roman" w:cs="Times New Roman"/>
                <w:color w:val="auto"/>
              </w:rPr>
              <w:t>，住院</w:t>
            </w:r>
            <w:r>
              <w:rPr>
                <w:rFonts w:hint="default" w:ascii="Times New Roman" w:hAnsi="Times New Roman" w:cs="Times New Roman"/>
                <w:color w:val="auto"/>
                <w:lang w:val="en-US" w:eastAsia="zh-CN"/>
              </w:rPr>
              <w:t>2</w:t>
            </w:r>
            <w:r>
              <w:rPr>
                <w:rFonts w:hint="default" w:ascii="Times New Roman" w:hAnsi="Times New Roman" w:cs="Times New Roman"/>
                <w:color w:val="auto"/>
              </w:rPr>
              <w:t>00余人次。职工及住院人员生活垃圾产生量按1kg/人•d计，门诊就诊人员生活垃圾产生量按0.2kg/人次计，则项目生活垃圾产生量约</w:t>
            </w:r>
            <w:r>
              <w:rPr>
                <w:rFonts w:hint="default" w:ascii="Times New Roman" w:hAnsi="Times New Roman" w:cs="Times New Roman"/>
                <w:color w:val="auto"/>
                <w:lang w:val="en-US" w:eastAsia="zh-CN"/>
              </w:rPr>
              <w:t>335</w:t>
            </w:r>
            <w:r>
              <w:rPr>
                <w:rFonts w:hint="default" w:ascii="Times New Roman" w:hAnsi="Times New Roman" w:cs="Times New Roman"/>
                <w:color w:val="auto"/>
              </w:rPr>
              <w:t>kg/d，合年产生量约</w:t>
            </w:r>
            <w:r>
              <w:rPr>
                <w:rFonts w:hint="default" w:ascii="Times New Roman" w:hAnsi="Times New Roman" w:cs="Times New Roman"/>
                <w:color w:val="auto"/>
                <w:lang w:val="en-US" w:eastAsia="zh-CN"/>
              </w:rPr>
              <w:t>122.275</w:t>
            </w:r>
            <w:r>
              <w:rPr>
                <w:rFonts w:hint="default" w:ascii="Times New Roman" w:hAnsi="Times New Roman" w:cs="Times New Roman"/>
                <w:color w:val="auto"/>
              </w:rPr>
              <w:t>t/a。</w:t>
            </w:r>
          </w:p>
          <w:p>
            <w:pPr>
              <w:ind w:firstLine="48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w:t>
            </w:r>
            <w:r>
              <w:rPr>
                <w:rFonts w:hint="eastAsia" w:eastAsia="宋体" w:cs="Times New Roman"/>
                <w:color w:val="auto"/>
                <w:szCs w:val="24"/>
                <w:lang w:eastAsia="zh-CN"/>
              </w:rPr>
              <w:t>产生的</w:t>
            </w:r>
            <w:r>
              <w:rPr>
                <w:rFonts w:hint="default" w:ascii="Times New Roman" w:hAnsi="Times New Roman" w:eastAsia="宋体" w:cs="Times New Roman"/>
                <w:color w:val="auto"/>
                <w:szCs w:val="24"/>
              </w:rPr>
              <w:t>生活垃圾</w:t>
            </w:r>
            <w:r>
              <w:rPr>
                <w:rFonts w:hint="eastAsia" w:eastAsia="宋体" w:cs="Times New Roman"/>
                <w:color w:val="auto"/>
                <w:szCs w:val="24"/>
                <w:lang w:eastAsia="zh-CN"/>
              </w:rPr>
              <w:t>由</w:t>
            </w:r>
            <w:r>
              <w:rPr>
                <w:rFonts w:hint="default" w:ascii="Times New Roman" w:hAnsi="Times New Roman" w:eastAsia="宋体" w:cs="Times New Roman"/>
                <w:color w:val="auto"/>
                <w:szCs w:val="24"/>
              </w:rPr>
              <w:t>内部保洁员每天清理收集后运至垃圾</w:t>
            </w:r>
            <w:r>
              <w:rPr>
                <w:rFonts w:hint="eastAsia" w:eastAsia="宋体" w:cs="Times New Roman"/>
                <w:color w:val="auto"/>
                <w:szCs w:val="24"/>
                <w:lang w:eastAsia="zh-CN"/>
              </w:rPr>
              <w:t>房</w:t>
            </w:r>
            <w:r>
              <w:rPr>
                <w:rFonts w:hint="default" w:ascii="Times New Roman" w:hAnsi="Times New Roman" w:eastAsia="宋体" w:cs="Times New Roman"/>
                <w:color w:val="auto"/>
                <w:szCs w:val="24"/>
              </w:rPr>
              <w:t>，由</w:t>
            </w:r>
            <w:r>
              <w:rPr>
                <w:rFonts w:hint="eastAsia" w:eastAsia="宋体" w:cs="Times New Roman"/>
                <w:color w:val="auto"/>
                <w:szCs w:val="24"/>
                <w:lang w:eastAsia="zh-CN"/>
              </w:rPr>
              <w:t>当地</w:t>
            </w:r>
            <w:r>
              <w:rPr>
                <w:rFonts w:hint="default" w:ascii="Times New Roman" w:hAnsi="Times New Roman" w:eastAsia="宋体" w:cs="Times New Roman"/>
                <w:color w:val="auto"/>
                <w:szCs w:val="24"/>
              </w:rPr>
              <w:t>环卫部门清运处置。</w:t>
            </w:r>
          </w:p>
          <w:p>
            <w:pPr>
              <w:ind w:firstLine="48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3 \* GB3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③</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highlight w:val="none"/>
              </w:rPr>
              <w:t>污水处理污泥</w:t>
            </w:r>
          </w:p>
          <w:p>
            <w:pPr>
              <w:ind w:firstLine="480"/>
              <w:jc w:val="both"/>
              <w:rPr>
                <w:rFonts w:eastAsia="宋体" w:cs="Times New Roman"/>
                <w:color w:val="auto"/>
                <w:spacing w:val="-6"/>
                <w:kern w:val="0"/>
                <w:szCs w:val="24"/>
                <w:highlight w:val="none"/>
              </w:rPr>
            </w:pPr>
            <w:r>
              <w:rPr>
                <w:rFonts w:hint="default" w:ascii="Times New Roman" w:hAnsi="Times New Roman" w:cs="Times New Roman"/>
                <w:color w:val="auto"/>
                <w:highlight w:val="none"/>
              </w:rPr>
              <w:t>医疗单位废水处理污泥，由医院废水处理设施产生，也属于医疗废物。本项目</w:t>
            </w:r>
            <w:r>
              <w:rPr>
                <w:rFonts w:hint="default" w:ascii="Times New Roman" w:hAnsi="Times New Roman" w:eastAsia="宋体" w:cs="Times New Roman"/>
                <w:color w:val="auto"/>
                <w:highlight w:val="none"/>
              </w:rPr>
              <w:t>医院废水产生量约为</w:t>
            </w:r>
            <w:r>
              <w:rPr>
                <w:rFonts w:hint="eastAsia" w:eastAsia="宋体" w:cs="Times New Roman"/>
                <w:color w:val="auto"/>
                <w:highlight w:val="none"/>
                <w:lang w:val="en-US" w:eastAsia="zh-CN"/>
              </w:rPr>
              <w:t>17782.8</w:t>
            </w:r>
            <w:r>
              <w:rPr>
                <w:rFonts w:hint="default" w:ascii="Times New Roman" w:hAnsi="Times New Roman" w:eastAsia="宋体" w:cs="Times New Roman"/>
                <w:color w:val="auto"/>
                <w:highlight w:val="none"/>
              </w:rPr>
              <w:t>t/a，污泥产生量按废水量的0.2%计，则污泥的产生量约</w:t>
            </w:r>
            <w:r>
              <w:rPr>
                <w:rFonts w:hint="default" w:ascii="Times New Roman" w:hAnsi="Times New Roman" w:eastAsia="宋体" w:cs="Times New Roman"/>
                <w:color w:val="auto"/>
                <w:highlight w:val="none"/>
                <w:lang w:val="en-US" w:eastAsia="zh-CN"/>
              </w:rPr>
              <w:t>35.5</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t/a</w:t>
            </w:r>
            <w:r>
              <w:rPr>
                <w:rFonts w:hint="default" w:ascii="Times New Roman" w:hAnsi="Times New Roman" w:cs="Times New Roman"/>
                <w:color w:val="auto"/>
                <w:highlight w:val="none"/>
                <w:lang w:eastAsia="zh-CN"/>
              </w:rPr>
              <w:t>，根据《国家危险废物名录》（2021年版）可知，化粪池和污水处理站污泥未纳入危废管理名录，处置方式为投加消毒剂消毒后委托环卫部门清运处置，清理频率为1次/季度。</w:t>
            </w:r>
          </w:p>
          <w:p>
            <w:pPr>
              <w:ind w:firstLine="482"/>
              <w:rPr>
                <w:b/>
                <w:color w:val="auto"/>
              </w:rPr>
            </w:pPr>
            <w:r>
              <w:rPr>
                <w:rFonts w:hint="eastAsia"/>
                <w:b/>
                <w:color w:val="auto"/>
              </w:rPr>
              <w:t>（2）处置去向及管理要求</w:t>
            </w:r>
          </w:p>
          <w:p>
            <w:pPr>
              <w:ind w:firstLine="480"/>
              <w:jc w:val="left"/>
              <w:rPr>
                <w:rFonts w:eastAsia="宋体" w:cs="Times New Roman"/>
                <w:color w:val="auto"/>
                <w:szCs w:val="24"/>
              </w:rPr>
            </w:pPr>
            <w:r>
              <w:rPr>
                <w:rFonts w:eastAsia="宋体" w:cs="Times New Roman"/>
                <w:color w:val="auto"/>
                <w:szCs w:val="24"/>
              </w:rPr>
              <w:fldChar w:fldCharType="begin"/>
            </w:r>
            <w:r>
              <w:rPr>
                <w:rFonts w:eastAsia="宋体" w:cs="Times New Roman"/>
                <w:color w:val="auto"/>
                <w:szCs w:val="24"/>
              </w:rPr>
              <w:instrText xml:space="preserve"> </w:instrText>
            </w:r>
            <w:r>
              <w:rPr>
                <w:rFonts w:hint="eastAsia" w:eastAsia="宋体" w:cs="Times New Roman"/>
                <w:color w:val="auto"/>
                <w:szCs w:val="24"/>
              </w:rPr>
              <w:instrText xml:space="preserve">= 1 \* GB3</w:instrText>
            </w:r>
            <w:r>
              <w:rPr>
                <w:rFonts w:eastAsia="宋体" w:cs="Times New Roman"/>
                <w:color w:val="auto"/>
                <w:szCs w:val="24"/>
              </w:rPr>
              <w:instrText xml:space="preserve"> </w:instrText>
            </w:r>
            <w:r>
              <w:rPr>
                <w:rFonts w:eastAsia="宋体" w:cs="Times New Roman"/>
                <w:color w:val="auto"/>
                <w:szCs w:val="24"/>
              </w:rPr>
              <w:fldChar w:fldCharType="separate"/>
            </w:r>
            <w:r>
              <w:rPr>
                <w:rFonts w:hint="eastAsia" w:eastAsia="宋体" w:cs="Times New Roman"/>
                <w:color w:val="auto"/>
                <w:szCs w:val="24"/>
              </w:rPr>
              <w:t>①</w:t>
            </w:r>
            <w:r>
              <w:rPr>
                <w:rFonts w:eastAsia="宋体" w:cs="Times New Roman"/>
                <w:color w:val="auto"/>
                <w:szCs w:val="24"/>
              </w:rPr>
              <w:fldChar w:fldCharType="end"/>
            </w:r>
            <w:r>
              <w:rPr>
                <w:rFonts w:hint="eastAsia" w:eastAsia="宋体" w:cs="Times New Roman"/>
                <w:color w:val="auto"/>
                <w:szCs w:val="24"/>
              </w:rPr>
              <w:t>生活垃圾</w:t>
            </w:r>
          </w:p>
          <w:p>
            <w:pPr>
              <w:ind w:firstLine="480"/>
              <w:jc w:val="left"/>
              <w:rPr>
                <w:rFonts w:eastAsia="宋体" w:cs="Times New Roman"/>
                <w:color w:val="auto"/>
                <w:szCs w:val="24"/>
              </w:rPr>
            </w:pPr>
            <w:r>
              <w:rPr>
                <w:rFonts w:hint="eastAsia" w:eastAsia="宋体" w:cs="Times New Roman"/>
                <w:color w:val="auto"/>
                <w:szCs w:val="24"/>
              </w:rPr>
              <w:t>生活垃圾经分类收集后可回收部分回收利用，不可回收部分收集于垃圾收集桶内，委托当地环卫部门定期清运处置，对周围环境影响不大。</w:t>
            </w:r>
          </w:p>
          <w:p>
            <w:pPr>
              <w:ind w:firstLine="48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医疗废物</w:t>
            </w:r>
          </w:p>
          <w:p>
            <w:pPr>
              <w:ind w:firstLine="480"/>
              <w:rPr>
                <w:color w:val="auto"/>
              </w:rPr>
            </w:pPr>
            <w:r>
              <w:rPr>
                <w:rFonts w:hint="eastAsia"/>
                <w:color w:val="auto"/>
              </w:rPr>
              <w:t>按照《国家危险废物名录》的分类，医疗废物为危险废物（编号HW01），应严格按照《医疗废物管理条例》要求，对其收集、运送、贮存、处理处置过程统一监督管理，必须由具有相应资质的处置单位进行清运集中处置。</w:t>
            </w:r>
          </w:p>
          <w:p>
            <w:pPr>
              <w:ind w:firstLine="480"/>
              <w:rPr>
                <w:color w:val="auto"/>
              </w:rPr>
            </w:pPr>
            <w:r>
              <w:rPr>
                <w:rFonts w:hint="eastAsia"/>
                <w:color w:val="auto"/>
              </w:rPr>
              <w:t>项目建设一座</w:t>
            </w:r>
            <w:r>
              <w:rPr>
                <w:rFonts w:hint="eastAsia"/>
                <w:color w:val="auto"/>
                <w:lang w:val="en-US" w:eastAsia="zh-CN"/>
              </w:rPr>
              <w:t>75.6</w:t>
            </w:r>
            <w:r>
              <w:rPr>
                <w:rFonts w:hint="eastAsia"/>
                <w:color w:val="auto"/>
              </w:rPr>
              <w:t>m</w:t>
            </w:r>
            <w:r>
              <w:rPr>
                <w:rFonts w:hint="eastAsia"/>
                <w:color w:val="auto"/>
                <w:vertAlign w:val="superscript"/>
              </w:rPr>
              <w:t>2</w:t>
            </w:r>
            <w:r>
              <w:rPr>
                <w:rFonts w:hint="eastAsia"/>
                <w:color w:val="auto"/>
              </w:rPr>
              <w:t>的医疗废物暂存间，分类收集后</w:t>
            </w:r>
            <w:r>
              <w:rPr>
                <w:rFonts w:hint="eastAsia"/>
                <w:color w:val="auto"/>
                <w:lang w:eastAsia="zh-CN"/>
              </w:rPr>
              <w:t>委托有资质的单位</w:t>
            </w:r>
            <w:r>
              <w:rPr>
                <w:rFonts w:hint="eastAsia"/>
                <w:color w:val="auto"/>
              </w:rPr>
              <w:t>清运并处置。项目医疗废物得到规范处置对环境影响较小。</w:t>
            </w:r>
          </w:p>
          <w:p>
            <w:pPr>
              <w:ind w:firstLine="480"/>
              <w:rPr>
                <w:color w:val="auto"/>
              </w:rPr>
            </w:pPr>
            <w:r>
              <w:rPr>
                <w:rFonts w:hint="eastAsia"/>
                <w:color w:val="auto"/>
              </w:rPr>
              <w:t>根据《危险废物贮存污染控制标准》危废暂存间应达到以下要求：</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a、远离医疗区、人员活动区和生活垃圾存放场所，方便医疗废物运送人员及运送工具、车辆的出入；</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b、有严密的封闭措施，设专（兼）职人员管理，防止非工作人员接触医疗废物；有防鼠、防蚊蝇、防蟑螂的安全措施；防止渗漏和雨水冲刷；易于清洁和消毒；避免阳光直射；</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c、设有明显的医疗废物警示标识和“禁止吸烟、饮食”的警示标识；</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d、暂时贮存病理性废物，应当具备低温贮存或者防腐条件。对于感染性废料和锐利废物，其贮存地应有“生物危险”标志和进入管理限制，且应位于产生废物地点附近。同时感染性废物和锐利废物的贮存应满足以下要求：</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e、保证包装内容物不暴露于空气和受潮；</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f、保存温度及时间应使保存物无腐败发生，必要时，可用低温保存，以防微生物生长和产生异味；</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g、贮存地及包装应确保内容物不成为鼠类或其它生物的食物来源；</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h、贮存地不得对公众开放。</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医疗废物转交出去后，应当对暂时贮存地点、设施及时进行清洁和消毒处理。</w:t>
            </w:r>
          </w:p>
          <w:p>
            <w:pPr>
              <w:widowControl/>
              <w:ind w:firstLine="480"/>
              <w:jc w:val="left"/>
              <w:rPr>
                <w:rFonts w:eastAsia="宋体" w:cs="Times New Roman"/>
                <w:b/>
                <w:color w:val="auto"/>
                <w:szCs w:val="24"/>
              </w:rPr>
            </w:pPr>
            <w:r>
              <w:rPr>
                <w:rFonts w:hint="eastAsia" w:ascii="宋体" w:hAnsi="宋体" w:eastAsia="宋体" w:cs="宋体"/>
                <w:color w:val="auto"/>
                <w:kern w:val="0"/>
                <w:szCs w:val="24"/>
                <w:lang w:bidi="ar"/>
              </w:rPr>
              <w:t>对于医疗固体废物，禁止将其在非收集、非暂时贮存地点倾倒、堆放；禁止将医疗废物混入其它废物和生活垃圾。</w:t>
            </w:r>
          </w:p>
          <w:p>
            <w:pPr>
              <w:ind w:firstLine="480"/>
              <w:rPr>
                <w:color w:val="auto"/>
              </w:rPr>
            </w:pPr>
            <w:r>
              <w:rPr>
                <w:rFonts w:hint="eastAsia"/>
                <w:color w:val="auto"/>
              </w:rPr>
              <w:t>按规范填写危险固体废弃物转移联单，建立</w:t>
            </w:r>
            <w:r>
              <w:rPr>
                <w:rFonts w:hint="eastAsia"/>
                <w:color w:val="auto"/>
                <w:lang w:eastAsia="zh-CN"/>
              </w:rPr>
              <w:t>医疗</w:t>
            </w:r>
            <w:r>
              <w:rPr>
                <w:rFonts w:hint="eastAsia"/>
                <w:color w:val="auto"/>
              </w:rPr>
              <w:t>废弃物管理台帐制度</w:t>
            </w:r>
            <w:r>
              <w:rPr>
                <w:rFonts w:hint="eastAsia"/>
                <w:color w:val="auto"/>
                <w:lang w:eastAsia="zh-CN"/>
              </w:rPr>
              <w:t>，</w:t>
            </w:r>
            <w:r>
              <w:rPr>
                <w:rFonts w:hint="eastAsia" w:eastAsia="宋体" w:cs="Times New Roman"/>
                <w:color w:val="auto"/>
                <w:spacing w:val="-6"/>
                <w:kern w:val="0"/>
                <w:szCs w:val="24"/>
              </w:rPr>
              <w:t>完善</w:t>
            </w:r>
            <w:r>
              <w:rPr>
                <w:rFonts w:hint="eastAsia" w:eastAsia="宋体" w:cs="Times New Roman"/>
                <w:color w:val="auto"/>
                <w:spacing w:val="-6"/>
                <w:kern w:val="0"/>
                <w:szCs w:val="24"/>
                <w:lang w:eastAsia="zh-CN"/>
              </w:rPr>
              <w:t>医疗</w:t>
            </w:r>
            <w:r>
              <w:rPr>
                <w:rFonts w:hint="eastAsia" w:eastAsia="宋体" w:cs="Times New Roman"/>
                <w:color w:val="auto"/>
                <w:spacing w:val="-6"/>
                <w:kern w:val="0"/>
                <w:szCs w:val="24"/>
              </w:rPr>
              <w:t>废物收集、转移台账记录。</w:t>
            </w:r>
          </w:p>
          <w:p>
            <w:pPr>
              <w:pStyle w:val="67"/>
              <w:spacing w:line="360" w:lineRule="auto"/>
              <w:rPr>
                <w:color w:val="auto"/>
                <w:sz w:val="21"/>
                <w:szCs w:val="21"/>
              </w:rPr>
            </w:pPr>
            <w:r>
              <w:rPr>
                <w:rFonts w:hint="eastAsia"/>
                <w:color w:val="auto"/>
                <w:sz w:val="21"/>
                <w:szCs w:val="21"/>
              </w:rPr>
              <w:t>表4-</w:t>
            </w:r>
            <w:r>
              <w:rPr>
                <w:rFonts w:hint="eastAsia"/>
                <w:color w:val="auto"/>
                <w:sz w:val="21"/>
                <w:szCs w:val="21"/>
                <w:lang w:val="en-US" w:eastAsia="zh-CN"/>
              </w:rPr>
              <w:t>18</w:t>
            </w:r>
            <w:r>
              <w:rPr>
                <w:rFonts w:hint="eastAsia"/>
                <w:color w:val="auto"/>
                <w:sz w:val="21"/>
                <w:szCs w:val="21"/>
              </w:rPr>
              <w:t xml:space="preserve"> 项目固体废物产</w:t>
            </w:r>
            <w:r>
              <w:rPr>
                <w:rFonts w:hint="eastAsia"/>
                <w:color w:val="auto"/>
                <w:sz w:val="21"/>
                <w:szCs w:val="21"/>
                <w:lang w:val="en-US" w:eastAsia="zh-CN"/>
              </w:rPr>
              <w:t>生量</w:t>
            </w:r>
            <w:r>
              <w:rPr>
                <w:rFonts w:hint="eastAsia"/>
                <w:color w:val="auto"/>
                <w:sz w:val="21"/>
                <w:szCs w:val="21"/>
              </w:rPr>
              <w:t>一览表</w:t>
            </w:r>
          </w:p>
          <w:tbl>
            <w:tblPr>
              <w:tblStyle w:val="38"/>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916"/>
              <w:gridCol w:w="2063"/>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产污环节</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病人就诊过程</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废水处理</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名称</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医疗废物</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属性</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危险固废</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一般工业固废</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主要有毒有害物质名称</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物理性状</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固态、液态</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环境危险特性</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T/C/I/R/In</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年产生量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lang w:val="en-US" w:eastAsia="zh-CN"/>
                    </w:rPr>
                    <w:t>50.34</w:t>
                  </w:r>
                  <w:r>
                    <w:rPr>
                      <w:rFonts w:hint="eastAsia"/>
                      <w:b w:val="0"/>
                      <w:bCs w:val="0"/>
                      <w:color w:val="auto"/>
                      <w:sz w:val="21"/>
                      <w:szCs w:val="21"/>
                    </w:rPr>
                    <w:t>t/a</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lang w:val="en-US" w:eastAsia="zh-CN"/>
                    </w:rPr>
                    <w:t>35.56</w:t>
                  </w:r>
                  <w:r>
                    <w:rPr>
                      <w:rFonts w:hint="eastAsia"/>
                      <w:b w:val="0"/>
                      <w:bCs w:val="0"/>
                      <w:color w:val="auto"/>
                      <w:sz w:val="21"/>
                      <w:szCs w:val="21"/>
                    </w:rPr>
                    <w:t>t/a</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lang w:val="en-US" w:eastAsia="zh-CN"/>
                    </w:rPr>
                    <w:t>122.275</w:t>
                  </w:r>
                  <w:r>
                    <w:rPr>
                      <w:rFonts w:hint="eastAsia"/>
                      <w:b w:val="0"/>
                      <w:bCs w:val="0"/>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贮存方式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rPr>
                    <w:t>医疗废物暂存间</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rPr>
                    <w:t>桶装、生活垃圾收集箱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利用处置方式和去向</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医疗固废委托有资质的单位清运处置</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rFonts w:hint="eastAsia" w:eastAsia="宋体"/>
                      <w:b w:val="0"/>
                      <w:bCs w:val="0"/>
                      <w:color w:val="auto"/>
                      <w:sz w:val="21"/>
                      <w:szCs w:val="21"/>
                      <w:vertAlign w:val="baseline"/>
                      <w:lang w:val="en-US" w:eastAsia="zh-CN"/>
                    </w:rPr>
                  </w:pPr>
                  <w:r>
                    <w:rPr>
                      <w:rFonts w:hint="eastAsia" w:ascii="宋体" w:hAnsi="宋体" w:cs="宋体"/>
                      <w:b w:val="0"/>
                      <w:bCs w:val="0"/>
                      <w:color w:val="auto"/>
                      <w:kern w:val="0"/>
                      <w:sz w:val="21"/>
                      <w:szCs w:val="21"/>
                      <w:lang w:val="en-US" w:eastAsia="zh-CN" w:bidi="ar"/>
                    </w:rPr>
                    <w:t>消毒后委托当地环卫部门清运处置</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委托当地环卫部门清运处置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利用或处置量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ascii="Times New Roman" w:eastAsia="宋体"/>
                      <w:b w:val="0"/>
                      <w:bCs w:val="0"/>
                      <w:color w:val="auto"/>
                      <w:sz w:val="21"/>
                      <w:szCs w:val="21"/>
                      <w:lang w:val="en-US" w:eastAsia="zh-CN"/>
                    </w:rPr>
                    <w:t>50.34</w:t>
                  </w:r>
                  <w:r>
                    <w:rPr>
                      <w:rFonts w:hint="eastAsia"/>
                      <w:b w:val="0"/>
                      <w:bCs w:val="0"/>
                      <w:color w:val="auto"/>
                      <w:sz w:val="21"/>
                      <w:szCs w:val="21"/>
                    </w:rPr>
                    <w:t>t/a</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lang w:val="en-US" w:eastAsia="zh-CN"/>
                    </w:rPr>
                    <w:t>35.56</w:t>
                  </w:r>
                  <w:r>
                    <w:rPr>
                      <w:rFonts w:hint="eastAsia"/>
                      <w:b w:val="0"/>
                      <w:bCs w:val="0"/>
                      <w:color w:val="auto"/>
                      <w:sz w:val="21"/>
                      <w:szCs w:val="21"/>
                    </w:rPr>
                    <w:t>t/a</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lang w:val="en-US" w:eastAsia="zh-CN"/>
                    </w:rPr>
                    <w:t>122.275t/a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环境管理要求</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处置率100%，并建立台账</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处置率100%</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处置率100%</w:t>
                  </w:r>
                </w:p>
              </w:tc>
            </w:tr>
          </w:tbl>
          <w:p>
            <w:pPr>
              <w:pStyle w:val="34"/>
              <w:ind w:firstLine="482"/>
              <w:rPr>
                <w:color w:val="auto"/>
              </w:rPr>
            </w:pPr>
            <w:r>
              <w:rPr>
                <w:color w:val="auto"/>
              </w:rPr>
              <w:t>5</w:t>
            </w:r>
            <w:r>
              <w:rPr>
                <w:rFonts w:hint="eastAsia"/>
                <w:color w:val="auto"/>
              </w:rPr>
              <w:t>、地下水、土壤</w:t>
            </w:r>
          </w:p>
          <w:p>
            <w:pPr>
              <w:keepNext w:val="0"/>
              <w:keepLines w:val="0"/>
              <w:widowControl/>
              <w:suppressLineNumbers w:val="0"/>
              <w:jc w:val="both"/>
              <w:rPr>
                <w:color w:val="auto"/>
              </w:rPr>
            </w:pPr>
            <w:r>
              <w:rPr>
                <w:rFonts w:hint="default" w:ascii="Times New Roman" w:hAnsi="Times New Roman" w:eastAsia="宋体" w:cs="Times New Roman"/>
                <w:b/>
                <w:color w:val="auto"/>
                <w:kern w:val="0"/>
                <w:sz w:val="24"/>
                <w:szCs w:val="24"/>
                <w:lang w:val="en-US" w:eastAsia="zh-CN" w:bidi="ar"/>
              </w:rPr>
              <w:t xml:space="preserve">5.1 </w:t>
            </w:r>
            <w:r>
              <w:rPr>
                <w:rFonts w:hint="eastAsia" w:ascii="宋体" w:hAnsi="宋体" w:eastAsia="宋体" w:cs="宋体"/>
                <w:b/>
                <w:color w:val="auto"/>
                <w:kern w:val="0"/>
                <w:sz w:val="24"/>
                <w:szCs w:val="24"/>
                <w:lang w:val="en-US" w:eastAsia="zh-CN" w:bidi="ar"/>
              </w:rPr>
              <w:t>地下水、土壤影响分析</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根据《环境影响评价技术导则 地下水环境》（HJ610-2016），本项目</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姚安县保健院妇婴医院住院综合楼建设项目，属于“V 社会事业与服务业”中“161、社区医疗、卫生院（站、所）、血站、急救中心等其他卫生机构”，地下水环境影响评价为Ⅳ类。本项目不做地下水环境影响专项</w:t>
            </w:r>
            <w:r>
              <w:rPr>
                <w:rFonts w:hint="eastAsia" w:ascii="Times New Roman" w:hAnsi="Times New Roman" w:eastAsia="宋体" w:cs="Times New Roman"/>
                <w:color w:val="auto"/>
                <w:kern w:val="2"/>
                <w:sz w:val="24"/>
                <w:szCs w:val="24"/>
                <w:lang w:val="en-US" w:eastAsia="zh-CN" w:bidi="ar"/>
              </w:rPr>
              <w:t>评价</w:t>
            </w:r>
            <w:r>
              <w:rPr>
                <w:rFonts w:hint="default" w:ascii="Times New Roman" w:hAnsi="Times New Roman" w:eastAsia="宋体" w:cs="Times New Roman"/>
                <w:color w:val="auto"/>
                <w:kern w:val="2"/>
                <w:sz w:val="24"/>
                <w:szCs w:val="24"/>
                <w:lang w:val="en-US" w:eastAsia="zh-CN" w:bidi="ar"/>
              </w:rPr>
              <w:t>，仅做简单分析。</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eastAsia"/>
                <w:color w:val="auto"/>
                <w:lang w:val="en-US" w:eastAsia="zh-CN"/>
              </w:rPr>
              <w:t>根据</w:t>
            </w:r>
            <w:r>
              <w:rPr>
                <w:rFonts w:hint="default" w:ascii="Times New Roman" w:hAnsi="Times New Roman" w:eastAsia="宋体" w:cs="Times New Roman"/>
                <w:color w:val="auto"/>
                <w:kern w:val="2"/>
                <w:sz w:val="24"/>
                <w:szCs w:val="24"/>
                <w:lang w:val="en-US" w:eastAsia="zh-CN" w:bidi="ar"/>
              </w:rPr>
              <w:t xml:space="preserve">《环境影响评价技术导则 </w:t>
            </w:r>
            <w:r>
              <w:rPr>
                <w:rFonts w:hint="eastAsia" w:ascii="Times New Roman" w:hAnsi="Times New Roman" w:eastAsia="宋体" w:cs="Times New Roman"/>
                <w:color w:val="auto"/>
                <w:kern w:val="2"/>
                <w:sz w:val="24"/>
                <w:szCs w:val="24"/>
                <w:lang w:val="en-US" w:eastAsia="zh-CN" w:bidi="ar"/>
              </w:rPr>
              <w:t>土壤</w:t>
            </w:r>
            <w:r>
              <w:rPr>
                <w:rFonts w:hint="default" w:ascii="Times New Roman" w:hAnsi="Times New Roman" w:eastAsia="宋体" w:cs="Times New Roman"/>
                <w:color w:val="auto"/>
                <w:kern w:val="2"/>
                <w:sz w:val="24"/>
                <w:szCs w:val="24"/>
                <w:lang w:val="en-US" w:eastAsia="zh-CN" w:bidi="ar"/>
              </w:rPr>
              <w:t>环境》（HJ</w:t>
            </w:r>
            <w:r>
              <w:rPr>
                <w:rFonts w:hint="eastAsia" w:ascii="Times New Roman" w:hAnsi="Times New Roman" w:eastAsia="宋体" w:cs="Times New Roman"/>
                <w:color w:val="auto"/>
                <w:kern w:val="2"/>
                <w:sz w:val="24"/>
                <w:szCs w:val="24"/>
                <w:lang w:val="en-US" w:eastAsia="zh-CN" w:bidi="ar"/>
              </w:rPr>
              <w:t>964-2018</w:t>
            </w:r>
            <w:r>
              <w:rPr>
                <w:rFonts w:hint="default" w:ascii="Times New Roman" w:hAnsi="Times New Roman" w:eastAsia="宋体" w:cs="Times New Roman"/>
                <w:color w:val="auto"/>
                <w:kern w:val="2"/>
                <w:sz w:val="24"/>
                <w:szCs w:val="24"/>
                <w:lang w:val="en-US" w:eastAsia="zh-CN" w:bidi="ar"/>
              </w:rPr>
              <w:t>），本项目</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姚安县保健院妇婴医院住院综合楼建设项目，土壤环境影响评价项目类别</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“V 社会事业与服务业”中“</w:t>
            </w:r>
            <w:r>
              <w:rPr>
                <w:rFonts w:hint="eastAsia" w:ascii="Times New Roman" w:hAnsi="Times New Roman" w:eastAsia="宋体" w:cs="Times New Roman"/>
                <w:color w:val="auto"/>
                <w:kern w:val="2"/>
                <w:sz w:val="24"/>
                <w:szCs w:val="24"/>
                <w:lang w:val="en-US" w:eastAsia="zh-CN" w:bidi="ar"/>
              </w:rPr>
              <w:t>全部</w:t>
            </w:r>
            <w:r>
              <w:rPr>
                <w:rFonts w:hint="default" w:ascii="Times New Roman" w:hAnsi="Times New Roman" w:eastAsia="宋体" w:cs="Times New Roman"/>
                <w:color w:val="auto"/>
                <w:kern w:val="2"/>
                <w:sz w:val="24"/>
                <w:szCs w:val="24"/>
                <w:lang w:val="en-US" w:eastAsia="zh-CN" w:bidi="ar"/>
              </w:rPr>
              <w:t>”，土壤环境影响评价为Ⅳ类。本项目不做地土壤环境影响专项</w:t>
            </w:r>
            <w:r>
              <w:rPr>
                <w:rFonts w:hint="eastAsia" w:ascii="Times New Roman" w:hAnsi="Times New Roman" w:eastAsia="宋体" w:cs="Times New Roman"/>
                <w:color w:val="auto"/>
                <w:kern w:val="2"/>
                <w:sz w:val="24"/>
                <w:szCs w:val="24"/>
                <w:lang w:val="en-US" w:eastAsia="zh-CN" w:bidi="ar"/>
              </w:rPr>
              <w:t>评价</w:t>
            </w:r>
            <w:r>
              <w:rPr>
                <w:rFonts w:hint="default" w:ascii="Times New Roman" w:hAnsi="Times New Roman" w:eastAsia="宋体" w:cs="Times New Roman"/>
                <w:color w:val="auto"/>
                <w:kern w:val="2"/>
                <w:sz w:val="24"/>
                <w:szCs w:val="24"/>
                <w:lang w:val="en-US" w:eastAsia="zh-CN" w:bidi="ar"/>
              </w:rPr>
              <w:t>，仅做简单分析。</w:t>
            </w:r>
          </w:p>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 xml:space="preserve">5.2 </w:t>
            </w:r>
            <w:r>
              <w:rPr>
                <w:rFonts w:hint="eastAsia" w:ascii="宋体" w:hAnsi="宋体" w:eastAsia="宋体" w:cs="宋体"/>
                <w:b/>
                <w:color w:val="auto"/>
                <w:kern w:val="0"/>
                <w:sz w:val="24"/>
                <w:szCs w:val="24"/>
                <w:lang w:val="en-US" w:eastAsia="zh-CN" w:bidi="ar"/>
              </w:rPr>
              <w:t>保护措施及监测计划</w:t>
            </w:r>
          </w:p>
          <w:p>
            <w:pPr>
              <w:keepNext w:val="0"/>
              <w:keepLines w:val="0"/>
              <w:widowControl/>
              <w:suppressLineNumbers w:val="0"/>
              <w:jc w:val="both"/>
              <w:rPr>
                <w:color w:val="auto"/>
              </w:rPr>
            </w:pPr>
            <w:r>
              <w:rPr>
                <w:rFonts w:hint="eastAsia" w:ascii="宋体" w:hAnsi="宋体" w:eastAsia="宋体" w:cs="宋体"/>
                <w:b/>
                <w:color w:val="auto"/>
                <w:kern w:val="0"/>
                <w:sz w:val="24"/>
                <w:szCs w:val="24"/>
                <w:lang w:val="en-US" w:eastAsia="zh-CN" w:bidi="ar"/>
              </w:rPr>
              <w:t>（</w:t>
            </w:r>
            <w:r>
              <w:rPr>
                <w:rFonts w:hint="default" w:ascii="Times New Roman" w:hAnsi="Times New Roman" w:eastAsia="宋体" w:cs="Times New Roman"/>
                <w:b/>
                <w:color w:val="auto"/>
                <w:kern w:val="0"/>
                <w:sz w:val="24"/>
                <w:szCs w:val="24"/>
                <w:lang w:val="en-US" w:eastAsia="zh-CN" w:bidi="ar"/>
              </w:rPr>
              <w:t>1</w:t>
            </w:r>
            <w:r>
              <w:rPr>
                <w:rFonts w:hint="eastAsia" w:ascii="宋体" w:hAnsi="宋体" w:eastAsia="宋体" w:cs="宋体"/>
                <w:b/>
                <w:color w:val="auto"/>
                <w:kern w:val="0"/>
                <w:sz w:val="24"/>
                <w:szCs w:val="24"/>
                <w:lang w:val="en-US" w:eastAsia="zh-CN" w:bidi="ar"/>
              </w:rPr>
              <w:t>）分区防渗措施</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污染防治措施坚持“源头控制、末端防治、污染监控、应急响应相结合”的原则，即采取主动控制和被动控制相结合的措施。</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①主动控制：从源头控制措施，主要包括在工艺、设备、污水储存及处理构筑物采取相应措施，防止和降低污染物跑、冒、滴、漏，将污染物泄漏的环境风险事故降到最低程度；</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②被动控制：末端控制措施，主要包括项目内污染区地面的防渗措施和泄漏、渗漏污染物收集措施，即在污染区地面进行防渗处理，防止洒落地面的污染物渗入地下及土壤，并把滞留在地面的污染物收集起来，集中送至污水处理厂。</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③实施覆盖项目区的地下水、土壤污染监控系统，包括建立完善的监测制度、配备先进的检测仪器和设备，科学、合理设置地下水污染监控井，及时发现污染、及时控制。</w:t>
            </w:r>
          </w:p>
          <w:p>
            <w:pPr>
              <w:keepNext w:val="0"/>
              <w:keepLines w:val="0"/>
              <w:widowControl/>
              <w:suppressLineNumbers w:val="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④应急响应措施，包括一旦发现地下水、土壤污染事故，立即启动应急预案、采取应急措施控制地下水污染，并使污染得到治理。</w:t>
            </w:r>
          </w:p>
          <w:p>
            <w:pPr>
              <w:keepNext w:val="0"/>
              <w:keepLines w:val="0"/>
              <w:widowControl/>
              <w:suppressLineNumbers w:val="0"/>
              <w:jc w:val="both"/>
              <w:rPr>
                <w:color w:val="auto"/>
              </w:rPr>
            </w:pPr>
            <w:r>
              <w:rPr>
                <w:rFonts w:hint="default" w:ascii="Times New Roman" w:hAnsi="Times New Roman" w:eastAsia="宋体" w:cs="Times New Roman"/>
                <w:color w:val="auto"/>
                <w:kern w:val="2"/>
                <w:sz w:val="24"/>
                <w:szCs w:val="24"/>
                <w:lang w:val="en-US" w:eastAsia="zh-CN" w:bidi="ar"/>
              </w:rPr>
              <w:t>地下水分区防渗参照表见下表：</w:t>
            </w:r>
          </w:p>
          <w:p>
            <w:pPr>
              <w:pStyle w:val="58"/>
              <w:spacing w:line="360" w:lineRule="auto"/>
              <w:ind w:firstLine="422"/>
              <w:jc w:val="center"/>
              <w:rPr>
                <w:b/>
                <w:bCs/>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19</w:t>
            </w:r>
            <w:r>
              <w:rPr>
                <w:rFonts w:hint="default" w:ascii="Times New Roman" w:hAnsi="Times New Roman" w:cs="Times New Roman"/>
                <w:b/>
                <w:bCs/>
                <w:color w:val="auto"/>
                <w:sz w:val="21"/>
                <w:szCs w:val="21"/>
              </w:rPr>
              <w:t xml:space="preserve"> 地下水污染防渗分区参照表</w:t>
            </w:r>
          </w:p>
          <w:tbl>
            <w:tblPr>
              <w:tblStyle w:val="37"/>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212"/>
              <w:gridCol w:w="898"/>
              <w:gridCol w:w="2233"/>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防渗分区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天然包气带防污性能</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污染控制难易程度</w:t>
                  </w:r>
                </w:p>
              </w:tc>
              <w:tc>
                <w:tcPr>
                  <w:tcW w:w="22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污染物类型</w:t>
                  </w:r>
                </w:p>
              </w:tc>
              <w:tc>
                <w:tcPr>
                  <w:tcW w:w="27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重点防渗区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重金属、持久性有机污染物</w:t>
                  </w:r>
                </w:p>
              </w:tc>
              <w:tc>
                <w:tcPr>
                  <w:tcW w:w="27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等效黏土防渗层Mb≥6.0m，K≤1×10</w:t>
                  </w:r>
                  <w:r>
                    <w:rPr>
                      <w:color w:val="auto"/>
                      <w:sz w:val="21"/>
                      <w:szCs w:val="21"/>
                      <w:vertAlign w:val="superscript"/>
                    </w:rPr>
                    <w:t>-</w:t>
                  </w:r>
                  <w:r>
                    <w:rPr>
                      <w:rFonts w:hint="eastAsia"/>
                      <w:color w:val="auto"/>
                      <w:sz w:val="21"/>
                      <w:szCs w:val="21"/>
                      <w:vertAlign w:val="superscript"/>
                    </w:rPr>
                    <w:t>10</w:t>
                  </w:r>
                  <w:r>
                    <w:rPr>
                      <w:rFonts w:hint="eastAsia"/>
                      <w:color w:val="auto"/>
                      <w:sz w:val="21"/>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一般防渗区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易-难</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其他类型</w:t>
                  </w:r>
                </w:p>
              </w:tc>
              <w:tc>
                <w:tcPr>
                  <w:tcW w:w="27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等效黏土防渗层Mb≥1.5m，K≤1×10</w:t>
                  </w:r>
                  <w:r>
                    <w:rPr>
                      <w:color w:val="auto"/>
                      <w:sz w:val="21"/>
                      <w:szCs w:val="21"/>
                      <w:vertAlign w:val="superscript"/>
                    </w:rPr>
                    <w:t>-7</w:t>
                  </w:r>
                  <w:r>
                    <w:rPr>
                      <w:rFonts w:hint="eastAsia"/>
                      <w:color w:val="auto"/>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重金属、持久性有机污染物</w:t>
                  </w: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简单防渗区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其他类型</w:t>
                  </w:r>
                </w:p>
              </w:tc>
              <w:tc>
                <w:tcPr>
                  <w:tcW w:w="27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一般地面硬化</w:t>
                  </w:r>
                </w:p>
              </w:tc>
            </w:tr>
          </w:tbl>
          <w:p>
            <w:pPr>
              <w:keepNext w:val="0"/>
              <w:keepLines w:val="0"/>
              <w:pageBreakBefore w:val="0"/>
              <w:widowControl/>
              <w:suppressLineNumbers w:val="0"/>
              <w:kinsoku/>
              <w:wordWrap/>
              <w:overflowPunct/>
              <w:topLinePunct w:val="0"/>
              <w:autoSpaceDE/>
              <w:autoSpaceDN/>
              <w:bidi w:val="0"/>
              <w:adjustRightInd/>
              <w:snapToGrid/>
              <w:spacing w:before="164" w:beforeLines="50"/>
              <w:jc w:val="both"/>
              <w:textAlignment w:val="auto"/>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依据表4-1</w:t>
            </w:r>
            <w:r>
              <w:rPr>
                <w:rFonts w:hint="eastAsia" w:eastAsia="宋体" w:cs="Times New Roman"/>
                <w:color w:val="auto"/>
                <w:kern w:val="2"/>
                <w:sz w:val="24"/>
                <w:szCs w:val="24"/>
                <w:lang w:val="en-US" w:eastAsia="zh-CN" w:bidi="ar"/>
              </w:rPr>
              <w:t>9</w:t>
            </w:r>
            <w:r>
              <w:rPr>
                <w:rFonts w:hint="default" w:ascii="Times New Roman" w:hAnsi="Times New Roman" w:eastAsia="宋体" w:cs="Times New Roman"/>
                <w:color w:val="auto"/>
                <w:kern w:val="2"/>
                <w:sz w:val="24"/>
                <w:szCs w:val="24"/>
                <w:lang w:val="en-US" w:eastAsia="zh-CN" w:bidi="ar"/>
              </w:rPr>
              <w:t>划分要求及本项目污染物产生、处理的过程环节，结合场区的总平面布置情况，将厂区分为重点防渗区、一般防渗区及简单防渗区，本项目防渗要求见表4-</w:t>
            </w:r>
            <w:r>
              <w:rPr>
                <w:rFonts w:hint="eastAsia" w:eastAsia="宋体" w:cs="Times New Roman"/>
                <w:color w:val="auto"/>
                <w:kern w:val="2"/>
                <w:sz w:val="24"/>
                <w:szCs w:val="24"/>
                <w:lang w:val="en-US" w:eastAsia="zh-CN" w:bidi="ar"/>
              </w:rPr>
              <w:t>20</w:t>
            </w:r>
            <w:r>
              <w:rPr>
                <w:rFonts w:hint="default" w:ascii="Times New Roman" w:hAnsi="Times New Roman" w:eastAsia="宋体" w:cs="Times New Roman"/>
                <w:color w:val="auto"/>
                <w:kern w:val="2"/>
                <w:sz w:val="24"/>
                <w:szCs w:val="24"/>
                <w:lang w:val="en-US" w:eastAsia="zh-CN" w:bidi="ar"/>
              </w:rPr>
              <w:t>。</w:t>
            </w:r>
          </w:p>
          <w:p>
            <w:pPr>
              <w:keepNext w:val="0"/>
              <w:keepLines w:val="0"/>
              <w:widowControl/>
              <w:suppressLineNumbers w:val="0"/>
              <w:ind w:left="0" w:leftChars="0" w:firstLine="0" w:firstLineChars="0"/>
              <w:jc w:val="center"/>
              <w:rPr>
                <w:color w:val="auto"/>
                <w:sz w:val="21"/>
                <w:szCs w:val="21"/>
              </w:rPr>
            </w:pPr>
            <w:r>
              <w:rPr>
                <w:rFonts w:hint="eastAsia" w:ascii="宋体" w:hAnsi="宋体" w:eastAsia="宋体" w:cs="宋体"/>
                <w:b/>
                <w:color w:val="auto"/>
                <w:kern w:val="0"/>
                <w:sz w:val="21"/>
                <w:szCs w:val="21"/>
                <w:lang w:val="en-US" w:eastAsia="zh-CN" w:bidi="ar"/>
              </w:rPr>
              <w:t>表</w:t>
            </w:r>
            <w:r>
              <w:rPr>
                <w:rFonts w:hint="default" w:ascii="Times New Roman" w:hAnsi="Times New Roman" w:eastAsia="宋体" w:cs="Times New Roman"/>
                <w:b/>
                <w:color w:val="auto"/>
                <w:kern w:val="0"/>
                <w:sz w:val="21"/>
                <w:szCs w:val="21"/>
                <w:lang w:val="en-US" w:eastAsia="zh-CN" w:bidi="ar"/>
              </w:rPr>
              <w:t>4-</w:t>
            </w:r>
            <w:r>
              <w:rPr>
                <w:rFonts w:hint="eastAsia" w:eastAsia="宋体" w:cs="Times New Roman"/>
                <w:b/>
                <w:color w:val="auto"/>
                <w:kern w:val="0"/>
                <w:sz w:val="21"/>
                <w:szCs w:val="21"/>
                <w:lang w:val="en-US" w:eastAsia="zh-CN" w:bidi="ar"/>
              </w:rPr>
              <w:t>20</w:t>
            </w:r>
            <w:r>
              <w:rPr>
                <w:rFonts w:hint="eastAsia" w:ascii="宋体" w:hAnsi="宋体" w:eastAsia="宋体" w:cs="宋体"/>
                <w:b/>
                <w:color w:val="auto"/>
                <w:kern w:val="0"/>
                <w:sz w:val="21"/>
                <w:szCs w:val="21"/>
                <w:lang w:val="en-US" w:eastAsia="zh-CN" w:bidi="ar"/>
              </w:rPr>
              <w:t>项目防渗措施汇总表</w:t>
            </w:r>
          </w:p>
          <w:tbl>
            <w:tblPr>
              <w:tblStyle w:val="38"/>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21"/>
              <w:gridCol w:w="4326"/>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防渗分区</w:t>
                  </w:r>
                </w:p>
              </w:tc>
              <w:tc>
                <w:tcPr>
                  <w:tcW w:w="432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防渗措施</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重点防渗区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医疗废物暂存间</w:t>
                  </w:r>
                </w:p>
              </w:tc>
              <w:tc>
                <w:tcPr>
                  <w:tcW w:w="4326" w:type="dxa"/>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根据《危险废物贮存污染控制标准》（</w:t>
                  </w:r>
                  <w:r>
                    <w:rPr>
                      <w:rFonts w:hint="default" w:ascii="Times New Roman" w:hAnsi="Times New Roman" w:eastAsia="宋体" w:cs="Times New Roman"/>
                      <w:color w:val="auto"/>
                      <w:kern w:val="0"/>
                      <w:sz w:val="21"/>
                      <w:szCs w:val="21"/>
                      <w:lang w:val="en-US" w:eastAsia="zh-CN" w:bidi="ar"/>
                    </w:rPr>
                    <w:t>GB18597-2001</w:t>
                  </w:r>
                  <w:r>
                    <w:rPr>
                      <w:rFonts w:hint="eastAsia" w:ascii="宋体" w:hAnsi="宋体" w:eastAsia="宋体" w:cs="宋体"/>
                      <w:color w:val="auto"/>
                      <w:kern w:val="0"/>
                      <w:sz w:val="21"/>
                      <w:szCs w:val="21"/>
                      <w:lang w:val="en-US" w:eastAsia="zh-CN" w:bidi="ar"/>
                    </w:rPr>
                    <w:t>），基础必须防渗，防渗层为至少</w:t>
                  </w:r>
                  <w:r>
                    <w:rPr>
                      <w:rFonts w:hint="default" w:ascii="Times New Roman" w:hAnsi="Times New Roman" w:eastAsia="宋体" w:cs="Times New Roman"/>
                      <w:color w:val="auto"/>
                      <w:kern w:val="0"/>
                      <w:sz w:val="21"/>
                      <w:szCs w:val="21"/>
                      <w:lang w:val="en-US" w:eastAsia="zh-CN" w:bidi="ar"/>
                    </w:rPr>
                    <w:t>1m</w:t>
                  </w:r>
                  <w:r>
                    <w:rPr>
                      <w:rFonts w:hint="eastAsia" w:ascii="宋体" w:hAnsi="宋体" w:eastAsia="宋体" w:cs="宋体"/>
                      <w:color w:val="auto"/>
                      <w:kern w:val="0"/>
                      <w:sz w:val="21"/>
                      <w:szCs w:val="21"/>
                      <w:lang w:val="en-US" w:eastAsia="zh-CN" w:bidi="ar"/>
                    </w:rPr>
                    <w:t>厚粘土层（渗透系数</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），或</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厚高密度聚乙烯，或至少</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厚的其他人工材料，渗透系数</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。地面与裙脚要用坚固、防渗、防腐蚀的材料建造。</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防渗系数</w:t>
                  </w:r>
                  <w:r>
                    <w:rPr>
                      <w:rFonts w:hint="eastAsia"/>
                      <w:color w:val="auto"/>
                      <w:sz w:val="21"/>
                      <w:szCs w:val="21"/>
                    </w:rPr>
                    <w:t>K≤1×10</w:t>
                  </w:r>
                  <w:r>
                    <w:rPr>
                      <w:color w:val="auto"/>
                      <w:sz w:val="21"/>
                      <w:szCs w:val="21"/>
                      <w:vertAlign w:val="superscript"/>
                    </w:rPr>
                    <w:t>-</w:t>
                  </w:r>
                  <w:r>
                    <w:rPr>
                      <w:rFonts w:hint="eastAsia"/>
                      <w:color w:val="auto"/>
                      <w:sz w:val="21"/>
                      <w:szCs w:val="21"/>
                      <w:vertAlign w:val="superscript"/>
                    </w:rPr>
                    <w:t>10</w:t>
                  </w:r>
                  <w:r>
                    <w:rPr>
                      <w:rFonts w:hint="eastAsia"/>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一般防渗区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污水处理站</w:t>
                  </w:r>
                </w:p>
              </w:tc>
              <w:tc>
                <w:tcPr>
                  <w:tcW w:w="432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基础铺设</w:t>
                  </w:r>
                  <w:r>
                    <w:rPr>
                      <w:rFonts w:hint="default" w:ascii="Times New Roman" w:hAnsi="Times New Roman" w:eastAsia="宋体" w:cs="Times New Roman"/>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厚三合土夯实，上层为</w:t>
                  </w:r>
                  <w:r>
                    <w:rPr>
                      <w:rFonts w:hint="default" w:ascii="Times New Roman" w:hAnsi="Times New Roman" w:eastAsia="宋体" w:cs="Times New Roman"/>
                      <w:color w:val="auto"/>
                      <w:kern w:val="0"/>
                      <w:sz w:val="21"/>
                      <w:szCs w:val="21"/>
                      <w:lang w:val="en-US" w:eastAsia="zh-CN" w:bidi="ar"/>
                    </w:rPr>
                    <w:t>15cm</w:t>
                  </w:r>
                  <w:r>
                    <w:rPr>
                      <w:rFonts w:hint="eastAsia" w:ascii="宋体" w:hAnsi="宋体" w:eastAsia="宋体" w:cs="宋体"/>
                      <w:color w:val="auto"/>
                      <w:kern w:val="0"/>
                      <w:sz w:val="21"/>
                      <w:szCs w:val="21"/>
                      <w:lang w:val="en-US" w:eastAsia="zh-CN" w:bidi="ar"/>
                    </w:rPr>
                    <w:t>厚水泥硬化，四周用砖砌再用水泥硬化防渗</w:t>
                  </w:r>
                </w:p>
              </w:tc>
              <w:tc>
                <w:tcPr>
                  <w:tcW w:w="2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等效黏土防渗层</w:t>
                  </w:r>
                  <w:r>
                    <w:rPr>
                      <w:rFonts w:hint="default" w:ascii="Times New Roman" w:hAnsi="Times New Roman" w:eastAsia="宋体" w:cs="Times New Roman"/>
                      <w:color w:val="auto"/>
                      <w:kern w:val="0"/>
                      <w:sz w:val="21"/>
                      <w:szCs w:val="21"/>
                      <w:lang w:val="en-US" w:eastAsia="zh-CN" w:bidi="ar"/>
                    </w:rPr>
                    <w:t>Mb≥1.5m</w:t>
                  </w:r>
                  <w:r>
                    <w:rPr>
                      <w:rFonts w:hint="eastAsia"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；或参照</w:t>
                  </w:r>
                  <w:r>
                    <w:rPr>
                      <w:rFonts w:hint="default" w:ascii="Times New Roman" w:hAnsi="Times New Roman" w:eastAsia="宋体" w:cs="Times New Roman"/>
                      <w:color w:val="auto"/>
                      <w:kern w:val="0"/>
                      <w:sz w:val="21"/>
                      <w:szCs w:val="21"/>
                      <w:lang w:val="en-US" w:eastAsia="zh-CN" w:bidi="ar"/>
                    </w:rPr>
                    <w:t xml:space="preserve">GB16889 </w:t>
                  </w:r>
                  <w:r>
                    <w:rPr>
                      <w:rFonts w:hint="eastAsia" w:ascii="宋体" w:hAnsi="宋体" w:eastAsia="宋体" w:cs="宋体"/>
                      <w:color w:val="auto"/>
                      <w:kern w:val="0"/>
                      <w:sz w:val="21"/>
                      <w:szCs w:val="21"/>
                      <w:lang w:val="en-US" w:eastAsia="zh-CN" w:bidi="ar"/>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简单防渗区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生活办公区</w:t>
                  </w:r>
                </w:p>
              </w:tc>
              <w:tc>
                <w:tcPr>
                  <w:tcW w:w="4326" w:type="dxa"/>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除绿化区全部进行水泥硬化处理，基础采用</w:t>
                  </w:r>
                  <w:r>
                    <w:rPr>
                      <w:rFonts w:hint="default" w:ascii="宋体" w:hAnsi="宋体" w:eastAsia="宋体" w:cs="宋体"/>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厚三合土，上层为</w:t>
                  </w:r>
                  <w:r>
                    <w:rPr>
                      <w:rFonts w:hint="default" w:ascii="宋体" w:hAnsi="宋体" w:eastAsia="宋体" w:cs="宋体"/>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厚水泥硬化</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一般地面硬化</w:t>
                  </w:r>
                </w:p>
              </w:tc>
            </w:tr>
          </w:tbl>
          <w:p>
            <w:pPr>
              <w:ind w:firstLine="480"/>
              <w:rPr>
                <w:rFonts w:hint="eastAsia" w:ascii="Times New Roman" w:hAnsi="Times New Roman"/>
                <w:color w:val="auto"/>
              </w:rPr>
            </w:pPr>
            <w:r>
              <w:rPr>
                <w:rFonts w:hint="eastAsia" w:ascii="Times New Roman" w:hAnsi="Times New Roman"/>
                <w:color w:val="auto"/>
                <w:lang w:val="en-US" w:eastAsia="zh-CN"/>
              </w:rPr>
              <w:t>综上所述，只要做好以上保护措施，做好防渗漏处理，并加强监督和管理，项目营运期不会对周围地下水环境产生影响。</w:t>
            </w:r>
          </w:p>
          <w:p>
            <w:pPr>
              <w:pStyle w:val="34"/>
              <w:ind w:firstLine="482"/>
              <w:rPr>
                <w:color w:val="auto"/>
              </w:rPr>
            </w:pPr>
            <w:r>
              <w:rPr>
                <w:rFonts w:hint="eastAsia"/>
                <w:color w:val="auto"/>
                <w:lang w:val="en-US" w:eastAsia="zh-CN"/>
              </w:rPr>
              <w:t>6</w:t>
            </w:r>
            <w:r>
              <w:rPr>
                <w:rFonts w:hint="eastAsia"/>
                <w:color w:val="auto"/>
              </w:rPr>
              <w:t>、环境风险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建设项目风险源调查</w:t>
            </w:r>
          </w:p>
          <w:p>
            <w:pPr>
              <w:keepNext w:val="0"/>
              <w:keepLines w:val="0"/>
              <w:widowControl/>
              <w:suppressLineNumbers w:val="0"/>
              <w:jc w:val="both"/>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kern w:val="0"/>
                <w:sz w:val="24"/>
                <w:szCs w:val="24"/>
                <w:lang w:val="en-US" w:eastAsia="zh-CN" w:bidi="ar"/>
              </w:rPr>
              <w:t>本项目涉及的风险源为酒精、柴油和次氯酸钠，其中、柴油、次氯酸钠为危险化学品。</w:t>
            </w:r>
            <w:r>
              <w:rPr>
                <w:rFonts w:hint="default" w:ascii="Times New Roman" w:hAnsi="Times New Roman" w:eastAsia="宋体" w:cs="Times New Roman"/>
                <w:color w:val="auto"/>
                <w:sz w:val="24"/>
                <w:szCs w:val="24"/>
                <w:lang w:val="en-US" w:eastAsia="zh-CN"/>
              </w:rPr>
              <w:t>本项目环境风险源基本情况详见表</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lang w:val="en-US" w:eastAsia="zh-CN"/>
              </w:rPr>
              <w:t>项目环境风险源基本情况</w:t>
            </w:r>
          </w:p>
          <w:tbl>
            <w:tblPr>
              <w:tblStyle w:val="38"/>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081"/>
              <w:gridCol w:w="1078"/>
              <w:gridCol w:w="1322"/>
              <w:gridCol w:w="2096"/>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0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年消耗量（t）</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最大存储量（t）</w:t>
                  </w:r>
                </w:p>
              </w:tc>
              <w:tc>
                <w:tcPr>
                  <w:tcW w:w="209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储存方式</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酒精</w:t>
                  </w:r>
                </w:p>
              </w:tc>
              <w:tc>
                <w:tcPr>
                  <w:tcW w:w="1078"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0.0257</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0.0257</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瓶装（</w:t>
                  </w:r>
                  <w:r>
                    <w:rPr>
                      <w:rFonts w:hint="default" w:ascii="Times New Roman" w:hAnsi="Times New Roman" w:eastAsia="宋体" w:cs="Times New Roman"/>
                      <w:color w:val="auto"/>
                      <w:sz w:val="21"/>
                      <w:szCs w:val="21"/>
                      <w:lang w:val="en-US" w:eastAsia="zh-CN"/>
                    </w:rPr>
                    <w:t>100mL/瓶</w:t>
                  </w:r>
                  <w:r>
                    <w:rPr>
                      <w:rFonts w:hint="default" w:ascii="Times New Roman" w:hAnsi="Times New Roman" w:eastAsia="宋体" w:cs="Times New Roman"/>
                      <w:color w:val="auto"/>
                      <w:sz w:val="21"/>
                      <w:szCs w:val="21"/>
                      <w:lang w:eastAsia="zh-CN"/>
                    </w:rPr>
                    <w:t>）</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次氯酸钠</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PVC塑料外缠玻璃钢储罐</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用于一体化污水处理站消毒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柴油</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b w:val="0"/>
                      <w:bCs w:val="0"/>
                      <w:color w:val="auto"/>
                      <w:sz w:val="21"/>
                      <w:szCs w:val="21"/>
                      <w:lang w:val="en-US" w:eastAsia="zh-CN"/>
                    </w:rPr>
                  </w:pPr>
                  <w:r>
                    <w:rPr>
                      <w:rFonts w:hint="eastAsia" w:hAnsi="Times New Roman" w:eastAsia="宋体" w:cs="Times New Roman"/>
                      <w:b w:val="0"/>
                      <w:bCs w:val="0"/>
                      <w:color w:val="auto"/>
                      <w:sz w:val="21"/>
                      <w:szCs w:val="21"/>
                      <w:lang w:val="en-US" w:eastAsia="zh-CN"/>
                    </w:rPr>
                    <w:t>0.1</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桶装</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备用柴油发电机使用</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项目使用</w:t>
            </w:r>
            <w:r>
              <w:rPr>
                <w:rFonts w:hint="eastAsia" w:ascii="Times New Roman" w:hAnsi="Times New Roman" w:eastAsia="宋体" w:cs="Times New Roman"/>
                <w:color w:val="auto"/>
                <w:sz w:val="24"/>
                <w:szCs w:val="24"/>
                <w:lang w:val="en-US" w:eastAsia="zh-CN"/>
              </w:rPr>
              <w:t>的次氯酸钠</w:t>
            </w:r>
            <w:r>
              <w:rPr>
                <w:rFonts w:hint="default" w:ascii="Times New Roman" w:hAnsi="Times New Roman" w:eastAsia="宋体" w:cs="Times New Roman"/>
                <w:color w:val="auto"/>
                <w:sz w:val="24"/>
                <w:szCs w:val="24"/>
                <w:lang w:val="en-US" w:eastAsia="zh-CN"/>
              </w:rPr>
              <w:t>安全技术说明书详见表</w:t>
            </w:r>
            <w:r>
              <w:rPr>
                <w:rFonts w:hint="eastAsia"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 4-</w:t>
            </w:r>
            <w:r>
              <w:rPr>
                <w:rFonts w:hint="eastAsia" w:eastAsia="宋体" w:cs="Times New Roman"/>
                <w:b/>
                <w:bCs/>
                <w:color w:val="auto"/>
                <w:sz w:val="21"/>
                <w:szCs w:val="21"/>
                <w:lang w:val="en-US" w:eastAsia="zh-CN"/>
              </w:rPr>
              <w:t>22</w:t>
            </w:r>
            <w:r>
              <w:rPr>
                <w:rFonts w:hint="eastAsia" w:ascii="Times New Roman" w:hAnsi="Times New Roman" w:eastAsia="宋体" w:cs="Times New Roman"/>
                <w:b/>
                <w:bCs/>
                <w:color w:val="auto"/>
                <w:sz w:val="21"/>
                <w:szCs w:val="21"/>
                <w:lang w:val="en-US" w:eastAsia="zh-CN"/>
              </w:rPr>
              <w:t xml:space="preserve"> 次氯酸钠</w:t>
            </w:r>
            <w:r>
              <w:rPr>
                <w:rFonts w:hint="default" w:ascii="Times New Roman" w:hAnsi="Times New Roman" w:eastAsia="宋体" w:cs="Times New Roman"/>
                <w:b/>
                <w:bCs/>
                <w:color w:val="auto"/>
                <w:sz w:val="21"/>
                <w:szCs w:val="21"/>
                <w:lang w:val="en-US" w:eastAsia="zh-CN"/>
              </w:rPr>
              <w:t>安全技术说明书</w:t>
            </w:r>
          </w:p>
          <w:tbl>
            <w:tblPr>
              <w:tblStyle w:val="38"/>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68"/>
              <w:gridCol w:w="2324"/>
              <w:gridCol w:w="147"/>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理化性质</w:t>
                  </w: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外观与形状：微黄色液体，有似氯气的气味</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引燃温度（℃）：无资料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熔点（℃）：-6</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溶解性：溶于水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沸点（℃）：102.2</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相对密度（水=1）：1.10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饱和蒸气压（KPa，20℃）：30.66（21℃）</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相对蒸汽密度（水=1）：无资料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临界温度（℃）：无资料</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燃烧热（kJ/kg）：无意义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临界压力（MPa）：无资料</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危险性类别：第8.3类，其他腐蚀品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爆炸上限［%（V/V）］：无意义</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爆炸下限［%（V/V）］：无意义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稳定性和反应活性</w:t>
                  </w: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稳定性：不稳定</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 xml:space="preserve">禁配物：碱类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避免接触的条件：避免与碱类接触</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分解产物：氯化氢</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危险性概述</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危险性类别</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皮肤腐蚀/刺激，类别1B；严重眼损伤/眼刺激，类别1；危害水生环境—急性危害，类别1；危害水生环境—长期危害，类别1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侵入途径</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健康危害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经常用手接触本品的工人，手掌大量出汗，指甲变薄，毛发脱落。本品有致敏作用。本品放出的游离氯有可能引起中毒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环境危害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对水可造成污染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燃爆危害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本品不燃，具腐蚀性，可致人体灼伤，具致敏性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急救措施</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皮肤接触</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眼睛接触</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迅速脱离现场至空气新鲜处，保持呼吸道畅通，如呼吸困难，给输氧。如呼吸停止，立即进行人工呼吸，就医。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食入</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消防措施</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危险特性</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受高热分解产生有毒的腐蚀性烟气，具有腐蚀性。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有害燃烧产物</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灭火方法</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采用雾状水、二氧化碳、砂土灭火。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98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泄漏应急处理</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应急处理</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迅速撤离泄漏污染区人员至安全区，并进行隔离，严格限制出入；建议应急处理人员戴自给正压式呼吸器，穿防酸碱工作服；不要直接接触泄漏物；尽可能切断泄漏源。小量泄漏：用沙土、蛭石或其他惰性材料吸收。大量泄漏：构筑围堤或挖坑收容，用泡沫覆盖，降低蒸汽灾害，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操作处置与储存</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操作注意事项</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密闭操作，全面通风，操作人员必须经过专门培训，严格遵守操作规程，建议操作人员佩戴直接式防毒面具（半面罩），戴化学安全防护眼镜，穿防腐工作服，戴橡胶手套；防止蒸汽泄漏到工作场所空气中；避免遇碱类接触；搬运时要轻装轻卸，防止包装及容器损坏。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储存注意事项</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储存于阴凉、通风的库房；远离火种、热源；库温不宜超过30℃，应与碱类分开存放，切忌混储；储区应备有泄漏应急处理设备和合适的收容材料。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毒理学资料</w:t>
                  </w: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急性毒性：LD50：8500mg/kg（小鼠经口）；LC50：无资料。</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皮肤刺激或腐蚀：皮肤刺激或腐蚀：EC50:5.3 mg/L（50%溶液，兔经皮）。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眼睛刺激或腐蚀：兔试验：0.05mL滴入眼睛，闭上眼睑30s，72h后有严重的眼睑红肿、结膜充血。</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呼吸或皮肤过敏：无资料。</w:t>
                  </w:r>
                </w:p>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吸入危害：有上呼吸道刺激症状。</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）环境</w:t>
            </w:r>
            <w:r>
              <w:rPr>
                <w:rFonts w:hint="eastAsia" w:ascii="Times New Roman" w:hAnsi="Times New Roman" w:eastAsia="宋体" w:cs="Times New Roman"/>
                <w:b/>
                <w:bCs/>
                <w:color w:val="auto"/>
                <w:sz w:val="24"/>
                <w:szCs w:val="24"/>
                <w:lang w:val="en-US" w:eastAsia="zh-CN"/>
              </w:rPr>
              <w:t>风险</w:t>
            </w:r>
            <w:r>
              <w:rPr>
                <w:rFonts w:hint="default" w:ascii="Times New Roman" w:hAnsi="Times New Roman" w:eastAsia="宋体" w:cs="Times New Roman"/>
                <w:b/>
                <w:bCs/>
                <w:color w:val="auto"/>
                <w:sz w:val="24"/>
                <w:szCs w:val="24"/>
                <w:lang w:val="en-US" w:eastAsia="zh-CN"/>
              </w:rPr>
              <w:t>保护目标概况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ascii="Times New Roman" w:hAnsi="Times New Roman" w:eastAsia="宋体" w:cs="Times New Roman"/>
                <w:color w:val="auto"/>
                <w:sz w:val="24"/>
                <w:szCs w:val="24"/>
                <w:lang w:val="en-US" w:eastAsia="zh-CN"/>
              </w:rPr>
              <w:t>云南省楚雄州</w:t>
            </w:r>
            <w:r>
              <w:rPr>
                <w:rFonts w:hint="eastAsia" w:eastAsia="宋体" w:cs="Times New Roman"/>
                <w:color w:val="auto"/>
                <w:sz w:val="24"/>
                <w:szCs w:val="24"/>
                <w:lang w:val="en-US" w:eastAsia="zh-CN"/>
              </w:rPr>
              <w:t>姚安县栋川镇下栖霞路与春晖路交汇口西处</w:t>
            </w:r>
            <w:r>
              <w:rPr>
                <w:rFonts w:hint="default" w:ascii="Times New Roman" w:hAnsi="Times New Roman" w:eastAsia="宋体" w:cs="Times New Roman"/>
                <w:color w:val="auto"/>
                <w:sz w:val="24"/>
                <w:szCs w:val="24"/>
                <w:lang w:val="en-US" w:eastAsia="zh-CN"/>
              </w:rPr>
              <w:t>，项目周围无重要文物保护单位、风景名胜区和水源地等环境保护目标。经过调查，</w:t>
            </w:r>
            <w:r>
              <w:rPr>
                <w:rFonts w:hint="eastAsia" w:ascii="Times New Roman" w:hAnsi="Times New Roman" w:eastAsia="宋体" w:cs="Times New Roman"/>
                <w:color w:val="auto"/>
                <w:sz w:val="24"/>
                <w:szCs w:val="24"/>
                <w:lang w:val="en-US" w:eastAsia="zh-CN"/>
              </w:rPr>
              <w:t>项目四周</w:t>
            </w:r>
            <w:r>
              <w:rPr>
                <w:rFonts w:hint="eastAsia" w:eastAsia="宋体" w:cs="Times New Roman"/>
                <w:color w:val="auto"/>
                <w:sz w:val="24"/>
                <w:szCs w:val="24"/>
                <w:lang w:val="en-US" w:eastAsia="zh-CN"/>
              </w:rPr>
              <w:t>环境保护目标</w:t>
            </w:r>
            <w:r>
              <w:rPr>
                <w:rFonts w:hint="eastAsia" w:ascii="Times New Roman" w:hAnsi="Times New Roman" w:eastAsia="宋体" w:cs="Times New Roman"/>
                <w:color w:val="auto"/>
                <w:sz w:val="24"/>
                <w:szCs w:val="24"/>
                <w:lang w:val="en-US" w:eastAsia="zh-CN"/>
              </w:rPr>
              <w:t>具体详见表3-1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风险识别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根据《建设项目环境风险评价技术导则》（HJ169-2018）和《环境风险评价实用技术和方法》规定，风险评价首先要确定建设项目所用原辅材料的毒性、易燃易爆性等危险性级别。项目</w:t>
            </w:r>
            <w:r>
              <w:rPr>
                <w:rFonts w:hint="eastAsia" w:ascii="Times New Roman" w:hAnsi="Times New Roman" w:cs="Times New Roman"/>
                <w:color w:val="auto"/>
                <w:sz w:val="24"/>
                <w:szCs w:val="24"/>
                <w:lang w:eastAsia="zh-CN"/>
              </w:rPr>
              <w:t>储存的风险物质有次氯酸钠、医用酒精、</w:t>
            </w:r>
            <w:r>
              <w:rPr>
                <w:rFonts w:hint="eastAsia" w:cs="Times New Roman"/>
                <w:color w:val="auto"/>
                <w:sz w:val="24"/>
                <w:szCs w:val="24"/>
                <w:lang w:eastAsia="zh-CN"/>
              </w:rPr>
              <w:t>柴油</w:t>
            </w:r>
            <w:r>
              <w:rPr>
                <w:rFonts w:hint="eastAsia" w:ascii="Times New Roman" w:hAnsi="Times New Roman" w:cs="Times New Roman"/>
                <w:color w:val="auto"/>
                <w:sz w:val="24"/>
                <w:szCs w:val="24"/>
                <w:lang w:eastAsia="zh-CN"/>
              </w:rPr>
              <w:t>，项目以上</w:t>
            </w:r>
            <w:r>
              <w:rPr>
                <w:rFonts w:ascii="Times New Roman" w:hAnsi="Times New Roman" w:cs="Times New Roman"/>
                <w:color w:val="auto"/>
                <w:sz w:val="24"/>
                <w:szCs w:val="24"/>
              </w:rPr>
              <w:t>泄漏</w:t>
            </w:r>
            <w:r>
              <w:rPr>
                <w:rFonts w:hint="eastAsia" w:ascii="Times New Roman" w:hAnsi="Times New Roman" w:cs="Times New Roman"/>
                <w:color w:val="auto"/>
                <w:sz w:val="24"/>
                <w:szCs w:val="24"/>
                <w:lang w:eastAsia="zh-CN"/>
              </w:rPr>
              <w:t>都</w:t>
            </w:r>
            <w:r>
              <w:rPr>
                <w:rFonts w:ascii="Times New Roman" w:hAnsi="Times New Roman" w:cs="Times New Roman"/>
                <w:color w:val="auto"/>
                <w:sz w:val="24"/>
                <w:szCs w:val="24"/>
              </w:rPr>
              <w:t>将会对周围环境造成</w:t>
            </w:r>
            <w:r>
              <w:rPr>
                <w:rFonts w:hint="eastAsia" w:ascii="Times New Roman" w:hAnsi="Times New Roman" w:cs="Times New Roman"/>
                <w:color w:val="auto"/>
                <w:sz w:val="24"/>
                <w:szCs w:val="24"/>
                <w:lang w:eastAsia="zh-CN"/>
              </w:rPr>
              <w:t>一定</w:t>
            </w:r>
            <w:r>
              <w:rPr>
                <w:rFonts w:ascii="Times New Roman" w:hAnsi="Times New Roman" w:cs="Times New Roman"/>
                <w:color w:val="auto"/>
                <w:sz w:val="24"/>
                <w:szCs w:val="24"/>
              </w:rPr>
              <w:t>影响。主要影响途径为通过大气、地表水和地下水影响环境。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）环境风险影响途径危害后果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①</w:t>
            </w:r>
            <w:r>
              <w:rPr>
                <w:rFonts w:ascii="Times New Roman" w:hAnsi="Times New Roman" w:cs="Times New Roman"/>
                <w:b/>
                <w:bCs/>
                <w:color w:val="auto"/>
                <w:sz w:val="24"/>
                <w:szCs w:val="24"/>
              </w:rPr>
              <w:t>对大气环境的影响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eastAsia="zh-CN"/>
              </w:rPr>
            </w:pPr>
            <w:r>
              <w:rPr>
                <w:rFonts w:hint="default" w:ascii="Times New Roman" w:hAnsi="Times New Roman" w:eastAsia="宋体" w:cs="Times New Roman"/>
                <w:b w:val="0"/>
                <w:bCs w:val="0"/>
                <w:color w:val="auto"/>
                <w:kern w:val="2"/>
                <w:sz w:val="24"/>
                <w:szCs w:val="24"/>
                <w:lang w:val="en-US" w:eastAsia="zh-CN"/>
              </w:rPr>
              <w:t>A、</w:t>
            </w:r>
            <w:r>
              <w:rPr>
                <w:rFonts w:hint="default" w:ascii="Times New Roman" w:hAnsi="Times New Roman" w:eastAsia="宋体" w:cs="Times New Roman"/>
                <w:b w:val="0"/>
                <w:bCs w:val="0"/>
                <w:color w:val="auto"/>
                <w:kern w:val="2"/>
                <w:sz w:val="24"/>
                <w:szCs w:val="24"/>
              </w:rPr>
              <w:t>次氯酸钠泄漏对周围环境的影响主要表现为次氯酸钠</w:t>
            </w:r>
            <w:r>
              <w:rPr>
                <w:rFonts w:hint="default" w:ascii="Times New Roman" w:hAnsi="Times New Roman" w:eastAsia="宋体" w:cs="Times New Roman"/>
                <w:b w:val="0"/>
                <w:bCs w:val="0"/>
                <w:color w:val="auto"/>
                <w:kern w:val="2"/>
                <w:sz w:val="24"/>
                <w:szCs w:val="24"/>
                <w:lang w:eastAsia="zh-CN"/>
              </w:rPr>
              <w:t>具有一定</w:t>
            </w:r>
            <w:r>
              <w:rPr>
                <w:rFonts w:hint="default" w:ascii="Times New Roman" w:hAnsi="Times New Roman" w:eastAsia="宋体" w:cs="Times New Roman"/>
                <w:b w:val="0"/>
                <w:bCs w:val="0"/>
                <w:color w:val="auto"/>
                <w:kern w:val="2"/>
                <w:sz w:val="24"/>
                <w:szCs w:val="24"/>
              </w:rPr>
              <w:t>挥发</w:t>
            </w:r>
            <w:r>
              <w:rPr>
                <w:rFonts w:hint="default" w:ascii="Times New Roman" w:hAnsi="Times New Roman" w:eastAsia="宋体" w:cs="Times New Roman"/>
                <w:b w:val="0"/>
                <w:bCs w:val="0"/>
                <w:color w:val="auto"/>
                <w:kern w:val="2"/>
                <w:sz w:val="24"/>
                <w:szCs w:val="24"/>
                <w:lang w:eastAsia="zh-CN"/>
              </w:rPr>
              <w:t>性</w:t>
            </w:r>
            <w:r>
              <w:rPr>
                <w:rFonts w:hint="default" w:ascii="Times New Roman" w:hAnsi="Times New Roman" w:eastAsia="宋体" w:cs="Times New Roman"/>
                <w:b w:val="0"/>
                <w:bCs w:val="0"/>
                <w:color w:val="auto"/>
                <w:kern w:val="2"/>
                <w:sz w:val="24"/>
                <w:szCs w:val="24"/>
              </w:rPr>
              <w:t>，挥发与空气中的CO</w:t>
            </w:r>
            <w:r>
              <w:rPr>
                <w:rFonts w:hint="default" w:ascii="Times New Roman" w:hAnsi="Times New Roman" w:eastAsia="宋体" w:cs="Times New Roman"/>
                <w:b w:val="0"/>
                <w:bCs w:val="0"/>
                <w:color w:val="auto"/>
                <w:kern w:val="2"/>
                <w:sz w:val="24"/>
                <w:szCs w:val="24"/>
                <w:vertAlign w:val="subscript"/>
              </w:rPr>
              <w:t>2</w:t>
            </w:r>
            <w:r>
              <w:rPr>
                <w:rFonts w:hint="default" w:ascii="Times New Roman" w:hAnsi="Times New Roman" w:eastAsia="宋体" w:cs="Times New Roman"/>
                <w:b w:val="0"/>
                <w:bCs w:val="0"/>
                <w:color w:val="auto"/>
                <w:kern w:val="2"/>
                <w:sz w:val="24"/>
                <w:szCs w:val="24"/>
              </w:rPr>
              <w:t>反应生成次氯酸，次氯酸不稳定，见光易分解成HCl和O</w:t>
            </w:r>
            <w:r>
              <w:rPr>
                <w:rFonts w:hint="default" w:ascii="Times New Roman" w:hAnsi="Times New Roman" w:eastAsia="宋体" w:cs="Times New Roman"/>
                <w:b w:val="0"/>
                <w:bCs w:val="0"/>
                <w:color w:val="auto"/>
                <w:kern w:val="2"/>
                <w:sz w:val="24"/>
                <w:szCs w:val="24"/>
                <w:vertAlign w:val="subscript"/>
              </w:rPr>
              <w:t>2</w:t>
            </w:r>
            <w:r>
              <w:rPr>
                <w:rFonts w:hint="default" w:ascii="Times New Roman" w:hAnsi="Times New Roman" w:eastAsia="宋体" w:cs="Times New Roman"/>
                <w:b w:val="0"/>
                <w:bCs w:val="0"/>
                <w:color w:val="auto"/>
                <w:kern w:val="2"/>
                <w:sz w:val="24"/>
                <w:szCs w:val="24"/>
              </w:rPr>
              <w:t>，对区域环境空气造成污染</w:t>
            </w:r>
            <w:r>
              <w:rPr>
                <w:rFonts w:hint="default"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本项目次氯酸钠储罐采用PVC塑料外缠玻璃钢储罐，符合国家相关规范要求，次氯酸钠泄漏主要为物料装卸车以及使用人员操作不当引起的，因此，项目在运营期工作人员应经培训后方可上岗，运营期加强管理，避免风险事故的发生</w:t>
            </w:r>
            <w:r>
              <w:rPr>
                <w:rFonts w:hint="default" w:ascii="Times New Roman" w:hAnsi="Times New Roman" w:eastAsia="宋体" w:cs="Times New Roman"/>
                <w:b w:val="0"/>
                <w:bCs w:val="0"/>
                <w:color w:val="auto"/>
                <w:kern w:val="2"/>
                <w:sz w:val="24"/>
                <w:szCs w:val="24"/>
                <w:lang w:eastAsia="zh-CN"/>
              </w:rPr>
              <w:t>。</w:t>
            </w:r>
          </w:p>
          <w:p>
            <w:pPr>
              <w:pStyle w:val="2"/>
              <w:keepNext w:val="0"/>
              <w:keepLines w:val="0"/>
              <w:pageBreakBefore w:val="0"/>
              <w:widowControl w:val="0"/>
              <w:kinsoku/>
              <w:wordWrap/>
              <w:overflowPunct/>
              <w:topLinePunct w:val="0"/>
              <w:bidi w:val="0"/>
              <w:snapToGrid/>
              <w:spacing w:line="360" w:lineRule="auto"/>
              <w:jc w:val="both"/>
              <w:textAlignment w:val="auto"/>
              <w:rPr>
                <w:rFonts w:hint="default" w:ascii="Times New Roman" w:hAnsi="Times New Roman" w:cs="Times New Roman"/>
                <w:color w:val="auto"/>
                <w:kern w:val="2"/>
                <w:lang w:val="en-US" w:eastAsia="zh-CN"/>
              </w:rPr>
            </w:pPr>
            <w:r>
              <w:rPr>
                <w:rFonts w:hint="default" w:ascii="Times New Roman" w:hAnsi="Times New Roman" w:eastAsia="宋体" w:cs="Times New Roman"/>
                <w:color w:val="auto"/>
                <w:kern w:val="2"/>
                <w:sz w:val="24"/>
                <w:szCs w:val="24"/>
                <w:lang w:val="en-US" w:eastAsia="zh-CN"/>
              </w:rPr>
              <w:t>B、项目储存酒精、氧气作为医疗救治用品使用，储存量少（酒精规格100mL/瓶），若发生酒精泄漏，影响区域仅储存室（或药剂室），酒精极易挥发，泄漏对大气环境影响较小。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bCs/>
                <w:color w:val="auto"/>
                <w:sz w:val="24"/>
                <w:szCs w:val="24"/>
              </w:rPr>
            </w:pPr>
            <w:r>
              <w:rPr>
                <w:rFonts w:hint="eastAsia" w:cs="Times New Roman"/>
                <w:b/>
                <w:bCs/>
                <w:color w:val="auto"/>
                <w:sz w:val="24"/>
                <w:szCs w:val="24"/>
                <w:lang w:val="en-US" w:eastAsia="zh-CN"/>
              </w:rPr>
              <w:t>②</w:t>
            </w:r>
            <w:r>
              <w:rPr>
                <w:rFonts w:ascii="Times New Roman" w:hAnsi="Times New Roman" w:cs="Times New Roman"/>
                <w:b/>
                <w:bCs/>
                <w:color w:val="auto"/>
                <w:sz w:val="24"/>
                <w:szCs w:val="24"/>
              </w:rPr>
              <w:t>对地下水</w:t>
            </w:r>
            <w:r>
              <w:rPr>
                <w:rFonts w:hint="eastAsia" w:cs="Times New Roman"/>
                <w:b/>
                <w:bCs/>
                <w:color w:val="auto"/>
                <w:sz w:val="24"/>
                <w:szCs w:val="24"/>
                <w:lang w:eastAsia="zh-CN"/>
              </w:rPr>
              <w:t>和土壤</w:t>
            </w:r>
            <w:r>
              <w:rPr>
                <w:rFonts w:ascii="Times New Roman" w:hAnsi="Times New Roman" w:cs="Times New Roman"/>
                <w:b/>
                <w:bCs/>
                <w:color w:val="auto"/>
                <w:sz w:val="24"/>
                <w:szCs w:val="24"/>
              </w:rPr>
              <w:t>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项目于次氯酸钠储罐下方设置托盘，</w:t>
            </w:r>
            <w:r>
              <w:rPr>
                <w:rFonts w:ascii="Times New Roman" w:hAnsi="Times New Roman" w:cs="Times New Roman"/>
                <w:color w:val="auto"/>
                <w:sz w:val="24"/>
                <w:szCs w:val="24"/>
              </w:rPr>
              <w:t>采取以上措施后，运营过程</w:t>
            </w:r>
            <w:r>
              <w:rPr>
                <w:rFonts w:hint="eastAsia" w:ascii="Times New Roman" w:hAnsi="Times New Roman" w:cs="Times New Roman"/>
                <w:color w:val="auto"/>
                <w:sz w:val="24"/>
                <w:szCs w:val="24"/>
                <w:lang w:eastAsia="zh-CN"/>
              </w:rPr>
              <w:t>次氯酸钠</w:t>
            </w:r>
            <w:r>
              <w:rPr>
                <w:rFonts w:ascii="Times New Roman" w:hAnsi="Times New Roman" w:cs="Times New Roman"/>
                <w:color w:val="auto"/>
                <w:sz w:val="24"/>
                <w:szCs w:val="24"/>
              </w:rPr>
              <w:t>渗入地下水的可能性很小</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eastAsia="宋体" w:cs="Times New Roman"/>
                <w:color w:val="auto"/>
                <w:sz w:val="24"/>
                <w:szCs w:val="24"/>
                <w:lang w:val="en-US" w:eastAsia="zh-CN"/>
              </w:rPr>
              <w:t>柴油</w:t>
            </w:r>
            <w:r>
              <w:rPr>
                <w:rFonts w:hint="eastAsia" w:ascii="Times New Roman" w:hAnsi="Times New Roman" w:eastAsia="宋体" w:cs="Times New Roman"/>
                <w:color w:val="auto"/>
                <w:sz w:val="24"/>
                <w:szCs w:val="24"/>
                <w:lang w:val="en-US" w:eastAsia="zh-CN"/>
              </w:rPr>
              <w:t>进入土壤后，会引起土壤理化特性的变化，如堵塞了土壤的孔隙结构，破坏土壤结构，使土壤的透气性、透水性降低；其富含的反应基能够与土壤中的无机氮、磷结合并限制硝化作用和脱磷酸作用，从而使土壤的有效磷、氮含量减少，导致土壤有机质的碳氮比和碳磷比的变化，一方面恶化了土壤微生物的生存环境，另一方面废机油自身对土壤中微生物也具有一定的负面影响，进而导致了反映土壤活性的微生物数量减少，微生物群落和微生物区系发生变化，使得未污染的土壤环境中微生物的五大功能明显降低，土壤的活性降低甚至没有活性，破坏土壤微生态环境。</w:t>
            </w:r>
            <w:r>
              <w:rPr>
                <w:rFonts w:hint="eastAsia" w:eastAsia="宋体" w:cs="Times New Roman"/>
                <w:color w:val="auto"/>
                <w:sz w:val="24"/>
                <w:szCs w:val="24"/>
                <w:lang w:val="en-US" w:eastAsia="zh-CN"/>
              </w:rPr>
              <w:t>柴油存放于柴油发电机房，采用专用铁桶盛装，柴油发电机房会地面将铺设防渗材料，当柴油泄漏时，能有效防止柴油渗漏到土壤中，故运营过程中，柴油泄漏对地下水及土壤的影响较小。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）风险防范与应急措施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①针对火灾爆炸事故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按照相关的规范和消防部门的要求，配备消防器材，在发生火灾时使用CO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干粉灭火器；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在危险品使用过程中，应该严格参照《危险化学品安全管理条例》（国务院第344号令）要求，需要做好这些化学品的贮存、使用，防止火灾风险事故的发生。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规范管理，加强职工培训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各类事故及非正常生产情况的发生大多数与操作管理不当有直接关系，因此，必须建立健全一整套严格的管理制度。管理制度应在以下几个方面予以关注：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加</w:t>
            </w:r>
            <w:r>
              <w:rPr>
                <w:rFonts w:hint="eastAsia" w:ascii="Times New Roman" w:hAnsi="Times New Roman" w:eastAsia="宋体" w:cs="Times New Roman"/>
                <w:color w:val="auto"/>
                <w:sz w:val="24"/>
                <w:szCs w:val="24"/>
                <w:lang w:eastAsia="zh-CN"/>
              </w:rPr>
              <w:t>风险物质储存设施</w:t>
            </w:r>
            <w:r>
              <w:rPr>
                <w:rFonts w:hint="default" w:ascii="Times New Roman" w:hAnsi="Times New Roman" w:eastAsia="宋体" w:cs="Times New Roman"/>
                <w:color w:val="auto"/>
                <w:sz w:val="24"/>
                <w:szCs w:val="24"/>
                <w:lang w:eastAsia="zh-CN"/>
              </w:rPr>
              <w:t>的管理，严格防止跑、冒、滴、漏现象发生。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把每个工作人员在业务上、工作上与消防安全管理上的职责、责任明确起来，层层把关，杜绝事故的发生。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对各类贮存容器、机电装置、安全设施、消防器材等，进行各种日常的、定期的、专业的防火安全检查，并将发现的问题落实到人、限期落实整改。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开展各种形式的安全教育和宣传，增强全员安全意识。加强职工培训， 增强职工的安全意识和相关知识。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②针对溢出、泄漏事故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采用专用</w:t>
            </w:r>
            <w:r>
              <w:rPr>
                <w:rFonts w:hint="eastAsia" w:ascii="Times New Roman" w:hAnsi="Times New Roman" w:eastAsia="宋体" w:cs="Times New Roman"/>
                <w:color w:val="auto"/>
                <w:sz w:val="24"/>
                <w:szCs w:val="24"/>
                <w:lang w:eastAsia="zh-CN"/>
              </w:rPr>
              <w:t>的容器储存风险物质</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定期对</w:t>
            </w:r>
            <w:r>
              <w:rPr>
                <w:rFonts w:hint="eastAsia" w:ascii="Times New Roman" w:hAnsi="Times New Roman" w:eastAsia="宋体" w:cs="Times New Roman"/>
                <w:color w:val="auto"/>
                <w:sz w:val="24"/>
                <w:szCs w:val="24"/>
                <w:lang w:eastAsia="zh-CN"/>
              </w:rPr>
              <w:t>风险物质储存容器进行检查，</w:t>
            </w:r>
            <w:r>
              <w:rPr>
                <w:rFonts w:hint="default" w:ascii="Times New Roman" w:hAnsi="Times New Roman" w:eastAsia="宋体" w:cs="Times New Roman"/>
                <w:color w:val="auto"/>
                <w:sz w:val="24"/>
                <w:szCs w:val="24"/>
                <w:lang w:eastAsia="zh-CN"/>
              </w:rPr>
              <w:t>避免发生跑、冒、滴、漏现象；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液态风险物质</w:t>
            </w:r>
            <w:r>
              <w:rPr>
                <w:rFonts w:hint="default" w:ascii="Times New Roman" w:hAnsi="Times New Roman" w:eastAsia="宋体" w:cs="Times New Roman"/>
                <w:color w:val="auto"/>
                <w:sz w:val="24"/>
                <w:szCs w:val="24"/>
                <w:lang w:eastAsia="zh-CN"/>
              </w:rPr>
              <w:t>泄露时，按操作规程及时收集泄露的液体，减少挥发量；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制定</w:t>
            </w:r>
            <w:r>
              <w:rPr>
                <w:rFonts w:hint="eastAsia" w:ascii="Times New Roman" w:hAnsi="Times New Roman" w:eastAsia="宋体" w:cs="Times New Roman"/>
                <w:color w:val="auto"/>
                <w:sz w:val="24"/>
                <w:szCs w:val="24"/>
                <w:lang w:eastAsia="zh-CN"/>
              </w:rPr>
              <w:t>有</w:t>
            </w:r>
            <w:r>
              <w:rPr>
                <w:rFonts w:hint="default" w:ascii="Times New Roman" w:hAnsi="Times New Roman" w:eastAsia="宋体" w:cs="Times New Roman"/>
                <w:color w:val="auto"/>
                <w:sz w:val="24"/>
                <w:szCs w:val="24"/>
                <w:lang w:eastAsia="zh-CN"/>
              </w:rPr>
              <w:t>环境污染突发事故应急预案，并组织演练，</w:t>
            </w:r>
            <w:r>
              <w:rPr>
                <w:rFonts w:hint="eastAsia" w:eastAsia="宋体" w:cs="Times New Roman"/>
                <w:color w:val="auto"/>
                <w:sz w:val="24"/>
                <w:szCs w:val="24"/>
                <w:lang w:eastAsia="zh-CN"/>
              </w:rPr>
              <w:t>防患于未然</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风险评价结论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的建设，不可避免会存在一定的环境风险，对此，建设单位必须高度重视，做到风险防范警钟常鸣，环境安全管理常抓不懈；严格落实各项风险防范措施，不断完善风险管理体系。只有这样，才能有效降低风险事故发生概率、杜绝特大事故的发生隐患。因此，只要严格遵守各项安全操作规程和制度，加强安全管理，本项目的环境风险是可以接受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本项目风险分析主要内容及结论见表</w:t>
            </w:r>
            <w:r>
              <w:rPr>
                <w:rFonts w:hint="eastAsia"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rPr>
            </w:pPr>
            <w:r>
              <w:rPr>
                <w:rFonts w:hint="eastAsia" w:ascii="Times New Roman" w:hAnsi="Times New Roman" w:eastAsia="宋体" w:cs="Times New Roman"/>
                <w:b/>
                <w:bCs/>
                <w:color w:val="auto"/>
                <w:sz w:val="21"/>
                <w:szCs w:val="21"/>
                <w:vertAlign w:val="baseline"/>
                <w:lang w:val="en-US" w:eastAsia="zh-CN"/>
              </w:rPr>
              <w:t>4-</w:t>
            </w:r>
            <w:r>
              <w:rPr>
                <w:rFonts w:hint="eastAsia" w:eastAsia="宋体" w:cs="Times New Roman"/>
                <w:b/>
                <w:bCs/>
                <w:color w:val="auto"/>
                <w:sz w:val="21"/>
                <w:szCs w:val="21"/>
                <w:vertAlign w:val="baseline"/>
                <w:lang w:val="en-US" w:eastAsia="zh-CN"/>
              </w:rPr>
              <w:t>23</w:t>
            </w:r>
            <w:r>
              <w:rPr>
                <w:rFonts w:hint="default" w:ascii="Times New Roman" w:hAnsi="Times New Roman" w:eastAsia="宋体" w:cs="Times New Roman"/>
                <w:b/>
                <w:bCs/>
                <w:color w:val="auto"/>
                <w:sz w:val="21"/>
                <w:szCs w:val="21"/>
                <w:vertAlign w:val="baseline"/>
              </w:rPr>
              <w:t xml:space="preserve"> 项目环境风险简单分析内容表</w:t>
            </w:r>
          </w:p>
          <w:tbl>
            <w:tblPr>
              <w:tblStyle w:val="38"/>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24"/>
              <w:gridCol w:w="2123"/>
              <w:gridCol w:w="1412"/>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姚安县保健院妇婴医院住院综合楼建设项目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云南省楚雄州</w:t>
                  </w:r>
                  <w:r>
                    <w:rPr>
                      <w:rFonts w:hint="eastAsia" w:eastAsia="宋体" w:cs="Times New Roman"/>
                      <w:color w:val="auto"/>
                      <w:sz w:val="21"/>
                      <w:szCs w:val="21"/>
                      <w:lang w:eastAsia="zh-CN"/>
                    </w:rPr>
                    <w:t>姚安县栋川镇下栖霞路与春晖路交汇口西处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地理位置</w:t>
                  </w:r>
                </w:p>
              </w:tc>
              <w:tc>
                <w:tcPr>
                  <w:tcW w:w="16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101.228695</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683"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25.509452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主要危险物质及分布</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项目风险物质为次氯酸钠、医用酒精等。</w:t>
                  </w:r>
                  <w:r>
                    <w:rPr>
                      <w:rFonts w:hint="default" w:ascii="Times New Roman" w:hAnsi="Times New Roman" w:eastAsia="宋体" w:cs="Times New Roman"/>
                      <w:color w:val="auto"/>
                      <w:sz w:val="21"/>
                      <w:szCs w:val="21"/>
                      <w:lang w:eastAsia="zh-CN"/>
                    </w:rPr>
                    <w:t>主要</w:t>
                  </w:r>
                  <w:r>
                    <w:rPr>
                      <w:rFonts w:hint="eastAsia" w:ascii="Times New Roman" w:hAnsi="Times New Roman" w:eastAsia="宋体" w:cs="Times New Roman"/>
                      <w:color w:val="auto"/>
                      <w:sz w:val="21"/>
                      <w:szCs w:val="21"/>
                      <w:lang w:eastAsia="zh-CN"/>
                    </w:rPr>
                    <w:t>风险</w:t>
                  </w:r>
                  <w:r>
                    <w:rPr>
                      <w:rFonts w:hint="default" w:ascii="Times New Roman" w:hAnsi="Times New Roman" w:eastAsia="宋体" w:cs="Times New Roman"/>
                      <w:color w:val="auto"/>
                      <w:sz w:val="21"/>
                      <w:szCs w:val="21"/>
                      <w:lang w:eastAsia="zh-CN"/>
                    </w:rPr>
                    <w:t>单元</w:t>
                  </w:r>
                  <w:r>
                    <w:rPr>
                      <w:rFonts w:hint="eastAsia" w:ascii="Times New Roman" w:hAnsi="Times New Roman" w:eastAsia="宋体" w:cs="Times New Roman"/>
                      <w:color w:val="auto"/>
                      <w:sz w:val="21"/>
                      <w:szCs w:val="21"/>
                      <w:lang w:eastAsia="zh-CN"/>
                    </w:rPr>
                    <w:t>为储存间、药剂室。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r>
                    <w:rPr>
                      <w:rFonts w:hint="eastAsia" w:ascii="Times New Roman" w:hAnsi="Times New Roman" w:eastAsia="宋体" w:cs="Times New Roman"/>
                      <w:color w:val="auto"/>
                      <w:sz w:val="21"/>
                      <w:szCs w:val="21"/>
                      <w:lang w:eastAsia="zh-CN"/>
                    </w:rPr>
                    <w:t>风险</w:t>
                  </w:r>
                  <w:r>
                    <w:rPr>
                      <w:rFonts w:hint="default" w:ascii="Times New Roman" w:hAnsi="Times New Roman" w:eastAsia="宋体" w:cs="Times New Roman"/>
                      <w:color w:val="auto"/>
                      <w:sz w:val="21"/>
                      <w:szCs w:val="21"/>
                    </w:rPr>
                    <w:t>影响途径及危害后果</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）次氯酸钠、医用酒精</w:t>
                  </w:r>
                  <w:r>
                    <w:rPr>
                      <w:rFonts w:hint="default" w:ascii="Times New Roman" w:hAnsi="Times New Roman" w:eastAsia="宋体" w:cs="Times New Roman"/>
                      <w:color w:val="auto"/>
                      <w:sz w:val="21"/>
                      <w:szCs w:val="21"/>
                    </w:rPr>
                    <w:t>储存和</w:t>
                  </w:r>
                  <w:r>
                    <w:rPr>
                      <w:rFonts w:hint="eastAsia" w:eastAsia="宋体" w:cs="Times New Roman"/>
                      <w:color w:val="auto"/>
                      <w:sz w:val="21"/>
                      <w:szCs w:val="21"/>
                      <w:lang w:eastAsia="zh-CN"/>
                    </w:rPr>
                    <w:t>柴油</w:t>
                  </w:r>
                  <w:r>
                    <w:rPr>
                      <w:rFonts w:hint="default" w:ascii="Times New Roman" w:hAnsi="Times New Roman" w:eastAsia="宋体" w:cs="Times New Roman"/>
                      <w:color w:val="auto"/>
                      <w:sz w:val="21"/>
                      <w:szCs w:val="21"/>
                    </w:rPr>
                    <w:t>使用过程中操作管理不当导致泄漏</w:t>
                  </w:r>
                  <w:r>
                    <w:rPr>
                      <w:rFonts w:hint="default" w:ascii="Times New Roman" w:hAnsi="Times New Roman" w:eastAsia="宋体" w:cs="Times New Roman"/>
                      <w:color w:val="auto"/>
                      <w:sz w:val="21"/>
                      <w:szCs w:val="21"/>
                      <w:lang w:eastAsia="zh-CN"/>
                    </w:rPr>
                    <w:t>、储存容器</w:t>
                  </w:r>
                  <w:r>
                    <w:rPr>
                      <w:rFonts w:hint="default" w:ascii="Times New Roman" w:hAnsi="Times New Roman" w:eastAsia="宋体" w:cs="Times New Roman"/>
                      <w:color w:val="auto"/>
                      <w:sz w:val="21"/>
                      <w:szCs w:val="21"/>
                    </w:rPr>
                    <w:t>破裂发生跑冒滴漏对周围环境造成影响；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项目发生火灾、爆炸产生的烟尘、SO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eastAsia"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、CO等对大气环境产生影响。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针对火灾爆炸事故</w:t>
                  </w:r>
                  <w:r>
                    <w:rPr>
                      <w:rFonts w:hint="eastAsia" w:ascii="Times New Roman" w:hAnsi="Times New Roman" w:eastAsia="宋体" w:cs="Times New Roman"/>
                      <w:b/>
                      <w:bCs/>
                      <w:color w:val="auto"/>
                      <w:sz w:val="21"/>
                      <w:szCs w:val="21"/>
                      <w:lang w:eastAsia="zh-CN"/>
                    </w:rPr>
                    <w:t>防的风险范措施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按照相关的规范和消防部门的要求，配备消防器材，在发生火灾时使用CO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干粉灭火器和消防沙进行灭火，灭火结束后产生的沾有油品的沙子属于危险固废，运至项目危废暂存间进行暂存，委托有资质单位清运处置；在危险品使用过程中，应该严格参照《危险化学品安全管理条例》（ 国务院第 344 号令）要求，需要做好这些化学品的贮存、使用，防止火灾风险事故的发生。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规范管理，加强职工培训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各类事故及非正常生产情况的发生大多数与操作管理不当有直接关系，因此，必须建立健全一整套严格的管理制度。管理制度应在以下几个方面予以关注：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①</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加强</w:t>
                  </w:r>
                  <w:r>
                    <w:rPr>
                      <w:rFonts w:hint="eastAsia" w:ascii="Times New Roman" w:hAnsi="Times New Roman" w:eastAsia="宋体" w:cs="Times New Roman"/>
                      <w:color w:val="auto"/>
                      <w:sz w:val="21"/>
                      <w:szCs w:val="21"/>
                      <w:lang w:eastAsia="zh-CN"/>
                    </w:rPr>
                    <w:t>风险物质</w:t>
                  </w:r>
                  <w:r>
                    <w:rPr>
                      <w:rFonts w:hint="default" w:ascii="Times New Roman" w:hAnsi="Times New Roman" w:eastAsia="宋体" w:cs="Times New Roman"/>
                      <w:color w:val="auto"/>
                      <w:sz w:val="21"/>
                      <w:szCs w:val="21"/>
                    </w:rPr>
                    <w:t>的管理，严格防止跑、冒、滴、漏现象发生。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②</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把每个工作人员在业务上、工作上与消防安全管理上的职责、责任明确起来，层层把关，杜绝事故的发生。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对各类贮存容器、机电装置、安全设施、消防器材等进行各种日常的、定期的、专业的防火安全检查，并将发现的问题落实到人、限期落实整改。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④</w:t>
                  </w:r>
                  <w:r>
                    <w:rPr>
                      <w:rFonts w:hint="default" w:ascii="Times New Roman" w:hAnsi="Times New Roman" w:eastAsia="宋体" w:cs="Times New Roman"/>
                      <w:color w:val="auto"/>
                      <w:sz w:val="21"/>
                      <w:szCs w:val="21"/>
                    </w:rPr>
                    <w:t>开展各种形式的安全教育和宣传，增强全员安全意识。加强职工培训， 增强职工的安全意识和相关知识。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针对溢出、泄漏事故</w:t>
                  </w:r>
                  <w:r>
                    <w:rPr>
                      <w:rFonts w:hint="eastAsia" w:ascii="Times New Roman" w:hAnsi="Times New Roman" w:eastAsia="宋体" w:cs="Times New Roman"/>
                      <w:b/>
                      <w:bCs/>
                      <w:color w:val="auto"/>
                      <w:sz w:val="21"/>
                      <w:szCs w:val="21"/>
                      <w:lang w:eastAsia="zh-CN"/>
                    </w:rPr>
                    <w:t>的风险防范措施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①</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采用</w:t>
                  </w:r>
                  <w:r>
                    <w:rPr>
                      <w:rFonts w:hint="default" w:ascii="Times New Roman" w:hAnsi="Times New Roman" w:eastAsia="宋体" w:cs="Times New Roman"/>
                      <w:color w:val="auto"/>
                      <w:sz w:val="21"/>
                      <w:szCs w:val="21"/>
                      <w:lang w:eastAsia="zh-CN"/>
                    </w:rPr>
                    <w:t>专用</w:t>
                  </w:r>
                  <w:r>
                    <w:rPr>
                      <w:rFonts w:hint="eastAsia" w:ascii="Times New Roman" w:hAnsi="Times New Roman" w:eastAsia="宋体" w:cs="Times New Roman"/>
                      <w:color w:val="auto"/>
                      <w:sz w:val="21"/>
                      <w:szCs w:val="21"/>
                      <w:lang w:eastAsia="zh-CN"/>
                    </w:rPr>
                    <w:t>的容器储存风险物质</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②</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定期对</w:t>
                  </w:r>
                  <w:r>
                    <w:rPr>
                      <w:rFonts w:hint="eastAsia" w:ascii="Times New Roman" w:hAnsi="Times New Roman" w:eastAsia="宋体" w:cs="Times New Roman"/>
                      <w:color w:val="auto"/>
                      <w:sz w:val="21"/>
                      <w:szCs w:val="21"/>
                      <w:lang w:eastAsia="zh-CN"/>
                    </w:rPr>
                    <w:t>风险物质储存容器进行检查，</w:t>
                  </w:r>
                  <w:r>
                    <w:rPr>
                      <w:rFonts w:hint="default" w:ascii="Times New Roman" w:hAnsi="Times New Roman" w:eastAsia="宋体" w:cs="Times New Roman"/>
                      <w:color w:val="auto"/>
                      <w:sz w:val="21"/>
                      <w:szCs w:val="21"/>
                      <w:lang w:eastAsia="zh-CN"/>
                    </w:rPr>
                    <w:t>避免发生</w:t>
                  </w:r>
                  <w:r>
                    <w:rPr>
                      <w:rFonts w:hint="default" w:ascii="Times New Roman" w:hAnsi="Times New Roman" w:eastAsia="宋体" w:cs="Times New Roman"/>
                      <w:color w:val="auto"/>
                      <w:sz w:val="21"/>
                      <w:szCs w:val="21"/>
                    </w:rPr>
                    <w:t>跑、冒、滴、漏现象；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液态风险物质</w:t>
                  </w:r>
                  <w:r>
                    <w:rPr>
                      <w:rFonts w:hint="default" w:ascii="Times New Roman" w:hAnsi="Times New Roman" w:eastAsia="宋体" w:cs="Times New Roman"/>
                      <w:color w:val="auto"/>
                      <w:sz w:val="21"/>
                      <w:szCs w:val="21"/>
                    </w:rPr>
                    <w:t>泄露时，按操作规程及时收集泄露的液体，减少挥发量</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④</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制定</w:t>
                  </w:r>
                  <w:r>
                    <w:rPr>
                      <w:rFonts w:hint="eastAsia" w:ascii="Times New Roman" w:hAnsi="Times New Roman" w:eastAsia="宋体" w:cs="Times New Roman"/>
                      <w:color w:val="auto"/>
                      <w:sz w:val="21"/>
                      <w:szCs w:val="21"/>
                      <w:lang w:eastAsia="zh-CN"/>
                    </w:rPr>
                    <w:t>有</w:t>
                  </w:r>
                  <w:r>
                    <w:rPr>
                      <w:rFonts w:hint="default" w:ascii="Times New Roman" w:hAnsi="Times New Roman" w:eastAsia="宋体" w:cs="Times New Roman"/>
                      <w:color w:val="auto"/>
                      <w:sz w:val="21"/>
                      <w:szCs w:val="21"/>
                    </w:rPr>
                    <w:t>环境污染突发事故应急预案，并组织演练，</w:t>
                  </w:r>
                  <w:r>
                    <w:rPr>
                      <w:rFonts w:hint="eastAsia" w:eastAsia="宋体" w:cs="Times New Roman"/>
                      <w:color w:val="auto"/>
                      <w:sz w:val="21"/>
                      <w:szCs w:val="21"/>
                      <w:lang w:eastAsia="zh-CN"/>
                    </w:rPr>
                    <w:t>防患于未然</w:t>
                  </w:r>
                  <w:r>
                    <w:rPr>
                      <w:rFonts w:hint="default" w:ascii="Times New Roman" w:hAnsi="Times New Roman" w:eastAsia="宋体" w:cs="Times New Roman"/>
                      <w:color w:val="auto"/>
                      <w:sz w:val="21"/>
                      <w:szCs w:val="21"/>
                    </w:rPr>
                    <w:t>。</w:t>
                  </w:r>
                </w:p>
              </w:tc>
            </w:tr>
          </w:tbl>
          <w:p>
            <w:pPr>
              <w:pStyle w:val="34"/>
              <w:numPr>
                <w:ilvl w:val="0"/>
                <w:numId w:val="0"/>
              </w:numP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三、竣工环境保护验收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bCs/>
                <w:color w:val="auto"/>
                <w:kern w:val="2"/>
                <w:sz w:val="24"/>
                <w:szCs w:val="24"/>
                <w:lang w:val="en-US" w:eastAsia="zh-CN"/>
              </w:rPr>
            </w:pPr>
            <w:r>
              <w:rPr>
                <w:rFonts w:hint="eastAsia" w:eastAsia="宋体" w:cs="Times New Roman"/>
                <w:b/>
                <w:bCs/>
                <w:color w:val="auto"/>
                <w:kern w:val="2"/>
                <w:sz w:val="24"/>
                <w:szCs w:val="24"/>
                <w:lang w:val="en-US" w:eastAsia="zh-CN"/>
              </w:rPr>
              <w:t>1、</w:t>
            </w:r>
            <w:r>
              <w:rPr>
                <w:rFonts w:hint="default" w:ascii="Times New Roman" w:hAnsi="Times New Roman" w:eastAsia="宋体" w:cs="Times New Roman"/>
                <w:b/>
                <w:bCs/>
                <w:color w:val="auto"/>
                <w:kern w:val="2"/>
                <w:sz w:val="24"/>
                <w:szCs w:val="24"/>
                <w:lang w:val="en-US" w:eastAsia="zh-CN"/>
              </w:rPr>
              <w:t>验收监测计划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Cs/>
                <w:color w:val="auto"/>
                <w:kern w:val="2"/>
                <w:sz w:val="24"/>
                <w:szCs w:val="24"/>
                <w:highlight w:val="none"/>
              </w:rPr>
              <w:t>根据《建设项目竣工环境保护验收技术规范 医疗机构》（HJ794-2016）制定本项目监测计划：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bCs/>
                <w:color w:val="auto"/>
                <w:kern w:val="2"/>
                <w:sz w:val="24"/>
                <w:szCs w:val="24"/>
                <w:highlight w:val="none"/>
                <w:lang w:eastAsia="zh-CN"/>
              </w:rPr>
            </w:pPr>
            <w:r>
              <w:rPr>
                <w:rFonts w:hint="eastAsia" w:eastAsia="宋体"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rPr>
              <w:t>无组织废气</w:t>
            </w:r>
            <w:r>
              <w:rPr>
                <w:rFonts w:hint="eastAsia" w:eastAsia="宋体" w:cs="Times New Roman"/>
                <w:b/>
                <w:bCs/>
                <w:color w:val="auto"/>
                <w:kern w:val="2"/>
                <w:sz w:val="24"/>
                <w:szCs w:val="24"/>
                <w:highlight w:val="none"/>
                <w:lang w:eastAsia="zh-CN"/>
              </w:rPr>
              <w:t>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①监测点</w:t>
            </w:r>
            <w:r>
              <w:rPr>
                <w:rFonts w:hint="default" w:ascii="Times New Roman" w:hAnsi="Times New Roman" w:eastAsia="宋体" w:cs="Times New Roman"/>
                <w:color w:val="auto"/>
                <w:kern w:val="2"/>
                <w:sz w:val="24"/>
                <w:szCs w:val="24"/>
                <w:highlight w:val="none"/>
                <w:lang w:eastAsia="zh-CN"/>
              </w:rPr>
              <w:t>位</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eastAsia="zh-CN"/>
              </w:rPr>
              <w:t>污水处理站周边</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②监测因子：</w:t>
            </w:r>
            <w:r>
              <w:rPr>
                <w:rFonts w:hint="default" w:ascii="Times New Roman" w:hAnsi="Times New Roman" w:eastAsia="宋体" w:cs="Times New Roman"/>
                <w:color w:val="auto"/>
                <w:kern w:val="2"/>
                <w:sz w:val="24"/>
                <w:szCs w:val="24"/>
                <w:highlight w:val="none"/>
                <w:lang w:eastAsia="zh-CN"/>
              </w:rPr>
              <w:t>氨、硫化氢、臭气浓度、氯气、甲烷 （指处理站内最高体积百分数</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③监测</w:t>
            </w:r>
            <w:r>
              <w:rPr>
                <w:rFonts w:hint="default" w:ascii="Times New Roman" w:hAnsi="Times New Roman" w:eastAsia="宋体" w:cs="Times New Roman"/>
                <w:color w:val="auto"/>
                <w:kern w:val="2"/>
                <w:sz w:val="24"/>
                <w:szCs w:val="24"/>
                <w:highlight w:val="none"/>
                <w:lang w:eastAsia="zh-CN"/>
              </w:rPr>
              <w:t>频次</w:t>
            </w:r>
            <w:r>
              <w:rPr>
                <w:rFonts w:hint="default" w:ascii="Times New Roman" w:hAnsi="Times New Roman" w:eastAsia="宋体" w:cs="Times New Roman"/>
                <w:color w:val="auto"/>
                <w:kern w:val="2"/>
                <w:sz w:val="24"/>
                <w:szCs w:val="24"/>
                <w:highlight w:val="none"/>
              </w:rPr>
              <w:t>：监测2天，每天监测3次</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color w:val="auto"/>
                <w:kern w:val="2"/>
                <w:sz w:val="24"/>
                <w:szCs w:val="24"/>
                <w:highlight w:val="none"/>
              </w:rPr>
            </w:pPr>
            <w:r>
              <w:rPr>
                <w:rFonts w:hint="eastAsia" w:eastAsia="宋体" w:cs="Times New Roman"/>
                <w:b/>
                <w:color w:val="auto"/>
                <w:kern w:val="2"/>
                <w:sz w:val="24"/>
                <w:szCs w:val="24"/>
                <w:highlight w:val="none"/>
                <w:lang w:val="en-US" w:eastAsia="zh-CN"/>
              </w:rPr>
              <w:t>（2）</w:t>
            </w:r>
            <w:r>
              <w:rPr>
                <w:rFonts w:hint="default" w:ascii="Times New Roman" w:hAnsi="Times New Roman" w:eastAsia="宋体" w:cs="Times New Roman"/>
                <w:b/>
                <w:color w:val="auto"/>
                <w:kern w:val="2"/>
                <w:sz w:val="24"/>
                <w:szCs w:val="24"/>
                <w:highlight w:val="none"/>
              </w:rPr>
              <w:t>噪声监测计划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①监测点</w:t>
            </w:r>
            <w:r>
              <w:rPr>
                <w:rFonts w:hint="eastAsia" w:eastAsia="宋体" w:cs="Times New Roman"/>
                <w:color w:val="auto"/>
                <w:kern w:val="2"/>
                <w:sz w:val="24"/>
                <w:szCs w:val="24"/>
                <w:highlight w:val="none"/>
                <w:lang w:eastAsia="zh-CN"/>
              </w:rPr>
              <w:t>位</w:t>
            </w:r>
            <w:r>
              <w:rPr>
                <w:rFonts w:hint="default" w:ascii="Times New Roman" w:hAnsi="Times New Roman" w:eastAsia="宋体" w:cs="Times New Roman"/>
                <w:color w:val="auto"/>
                <w:kern w:val="2"/>
                <w:sz w:val="24"/>
                <w:szCs w:val="24"/>
                <w:highlight w:val="none"/>
              </w:rPr>
              <w:t>：项目四面厂界；</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②监测</w:t>
            </w:r>
            <w:r>
              <w:rPr>
                <w:rFonts w:hint="eastAsia" w:eastAsia="宋体" w:cs="Times New Roman"/>
                <w:color w:val="auto"/>
                <w:kern w:val="2"/>
                <w:sz w:val="24"/>
                <w:szCs w:val="24"/>
                <w:highlight w:val="none"/>
                <w:lang w:eastAsia="zh-CN"/>
              </w:rPr>
              <w:t>因子</w:t>
            </w:r>
            <w:r>
              <w:rPr>
                <w:rFonts w:hint="default" w:ascii="Times New Roman" w:hAnsi="Times New Roman" w:eastAsia="宋体" w:cs="Times New Roman"/>
                <w:color w:val="auto"/>
                <w:kern w:val="2"/>
                <w:sz w:val="24"/>
                <w:szCs w:val="24"/>
                <w:highlight w:val="none"/>
              </w:rPr>
              <w:t>：Leq(A)；</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③监测频率：监测2天，昼夜各监测1次</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color w:val="auto"/>
                <w:kern w:val="2"/>
                <w:sz w:val="24"/>
                <w:szCs w:val="24"/>
                <w:highlight w:val="none"/>
                <w:lang w:val="en-US" w:eastAsia="zh-CN"/>
              </w:rPr>
            </w:pPr>
            <w:r>
              <w:rPr>
                <w:rFonts w:hint="eastAsia" w:ascii="Times New Roman" w:hAnsi="Times New Roman" w:eastAsia="宋体" w:cs="Times New Roman"/>
                <w:b/>
                <w:color w:val="auto"/>
                <w:kern w:val="2"/>
                <w:sz w:val="24"/>
                <w:szCs w:val="24"/>
                <w:highlight w:val="none"/>
                <w:lang w:val="en-US" w:eastAsia="zh-CN"/>
              </w:rPr>
              <w:t>（3）废水监测计划</w:t>
            </w:r>
          </w:p>
          <w:p>
            <w:pPr>
              <w:pStyle w:val="183"/>
              <w:keepNext w:val="0"/>
              <w:keepLines w:val="0"/>
              <w:pageBreakBefore w:val="0"/>
              <w:numPr>
                <w:ilvl w:val="0"/>
                <w:numId w:val="0"/>
              </w:numPr>
              <w:kinsoku/>
              <w:wordWrap/>
              <w:overflowPunct/>
              <w:topLinePunct w:val="0"/>
              <w:autoSpaceDE/>
              <w:autoSpaceDN/>
              <w:bidi w:val="0"/>
              <w:ind w:leftChars="0" w:firstLine="480" w:firstLineChars="200"/>
              <w:jc w:val="both"/>
              <w:textAlignment w:val="auto"/>
              <w:rPr>
                <w:rFonts w:hint="eastAsia"/>
                <w:color w:val="auto"/>
                <w:lang w:val="en-US" w:eastAsia="zh-CN"/>
              </w:rPr>
            </w:pPr>
            <w:r>
              <w:rPr>
                <w:rFonts w:hint="eastAsia"/>
                <w:color w:val="auto"/>
                <w:lang w:val="en-US" w:eastAsia="zh-CN"/>
              </w:rPr>
              <w:t>①监测点位：污水处理站进、出口；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szCs w:val="24"/>
                <w:lang w:eastAsia="zh-CN"/>
              </w:rPr>
            </w:pPr>
            <w:r>
              <w:rPr>
                <w:rFonts w:hint="eastAsia"/>
                <w:color w:val="auto"/>
                <w:lang w:val="en-US" w:eastAsia="zh-CN"/>
              </w:rPr>
              <w:t>②监测因子：</w:t>
            </w:r>
            <w:r>
              <w:rPr>
                <w:rFonts w:ascii="Times New Roman" w:hAnsi="Times New Roman" w:cs="Times New Roman"/>
                <w:color w:val="auto"/>
                <w:sz w:val="24"/>
              </w:rPr>
              <w:t>pH值</w:t>
            </w:r>
            <w:r>
              <w:rPr>
                <w:rFonts w:ascii="Times New Roman" w:hAnsi="Times New Roman" w:cs="Times New Roman"/>
                <w:color w:val="auto"/>
                <w:sz w:val="24"/>
                <w:szCs w:val="22"/>
              </w:rPr>
              <w:t>、</w:t>
            </w:r>
            <w:r>
              <w:rPr>
                <w:rFonts w:ascii="Times New Roman" w:hAnsi="Times New Roman" w:cs="Times New Roman"/>
                <w:color w:val="auto"/>
                <w:sz w:val="24"/>
              </w:rPr>
              <w:t>BOD</w:t>
            </w:r>
            <w:r>
              <w:rPr>
                <w:rFonts w:ascii="Times New Roman" w:hAnsi="Times New Roman" w:cs="Times New Roman"/>
                <w:color w:val="auto"/>
                <w:sz w:val="24"/>
                <w:vertAlign w:val="subscript"/>
              </w:rPr>
              <w:t>5</w:t>
            </w:r>
            <w:r>
              <w:rPr>
                <w:rFonts w:ascii="Times New Roman" w:hAnsi="Times New Roman" w:cs="Times New Roman"/>
                <w:color w:val="auto"/>
                <w:sz w:val="24"/>
              </w:rPr>
              <w:t>、</w:t>
            </w:r>
            <w:r>
              <w:rPr>
                <w:rFonts w:hint="eastAsia" w:ascii="Times New Roman" w:hAnsi="Times New Roman" w:cs="Times New Roman"/>
                <w:color w:val="auto"/>
                <w:sz w:val="24"/>
              </w:rPr>
              <w:t>C</w:t>
            </w:r>
            <w:r>
              <w:rPr>
                <w:rFonts w:ascii="Times New Roman" w:hAnsi="Times New Roman" w:cs="Times New Roman"/>
                <w:color w:val="auto"/>
                <w:sz w:val="24"/>
              </w:rPr>
              <w:t>OD、</w:t>
            </w:r>
            <w:r>
              <w:rPr>
                <w:rFonts w:hint="eastAsia" w:ascii="Times New Roman" w:hAnsi="Times New Roman" w:cs="Times New Roman"/>
                <w:color w:val="auto"/>
                <w:sz w:val="24"/>
              </w:rPr>
              <w:t>悬浮物（SS）</w:t>
            </w:r>
            <w:r>
              <w:rPr>
                <w:rFonts w:ascii="Times New Roman" w:hAnsi="Times New Roman" w:cs="Times New Roman"/>
                <w:color w:val="auto"/>
                <w:sz w:val="24"/>
              </w:rPr>
              <w:t>、</w:t>
            </w:r>
            <w:r>
              <w:rPr>
                <w:rFonts w:hint="eastAsia" w:ascii="Times New Roman" w:hAnsi="Times New Roman" w:cs="Times New Roman"/>
                <w:color w:val="auto"/>
                <w:sz w:val="24"/>
              </w:rPr>
              <w:t>氨氮</w:t>
            </w:r>
            <w:r>
              <w:rPr>
                <w:rFonts w:ascii="Times New Roman" w:hAnsi="Times New Roman" w:cs="Times New Roman"/>
                <w:color w:val="auto"/>
                <w:sz w:val="24"/>
              </w:rPr>
              <w:t>、</w:t>
            </w:r>
            <w:r>
              <w:rPr>
                <w:rFonts w:hint="eastAsia" w:ascii="Times New Roman" w:hAnsi="Times New Roman" w:cs="Times New Roman"/>
                <w:color w:val="auto"/>
                <w:sz w:val="24"/>
              </w:rPr>
              <w:t>动植物油、石油、</w:t>
            </w:r>
            <w:r>
              <w:rPr>
                <w:rFonts w:ascii="Times New Roman" w:hAnsi="Times New Roman" w:cs="Times New Roman"/>
                <w:color w:val="auto"/>
                <w:sz w:val="24"/>
              </w:rPr>
              <w:t>阴离子表面活性剂、</w:t>
            </w:r>
            <w:r>
              <w:rPr>
                <w:rFonts w:hint="eastAsia" w:cs="Times New Roman"/>
                <w:color w:val="auto"/>
                <w:sz w:val="24"/>
                <w:lang w:eastAsia="zh-CN"/>
              </w:rPr>
              <w:t>粪</w:t>
            </w:r>
            <w:r>
              <w:rPr>
                <w:rFonts w:ascii="Times New Roman" w:hAnsi="Times New Roman" w:cs="Times New Roman"/>
                <w:color w:val="auto"/>
                <w:sz w:val="24"/>
              </w:rPr>
              <w:t>大肠菌群</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szCs w:val="24"/>
                <w:lang w:eastAsia="zh-CN"/>
              </w:rPr>
              <w:t>六价铬、总铬、总镉、总砷、总汞、</w:t>
            </w:r>
            <w:r>
              <w:rPr>
                <w:rFonts w:hint="eastAsia" w:cs="Times New Roman"/>
                <w:color w:val="auto"/>
                <w:sz w:val="24"/>
                <w:szCs w:val="24"/>
                <w:lang w:eastAsia="zh-CN"/>
              </w:rPr>
              <w:t>总银、总铅、总氰化物、挥发酚、总余氯。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szCs w:val="24"/>
                <w:lang w:eastAsia="zh-CN"/>
              </w:rPr>
            </w:pPr>
            <w:r>
              <w:rPr>
                <w:rFonts w:hint="eastAsia" w:cs="Times New Roman"/>
                <w:color w:val="auto"/>
                <w:sz w:val="24"/>
                <w:szCs w:val="24"/>
                <w:lang w:eastAsia="zh-CN"/>
              </w:rPr>
              <w:t>③监测频次：监测2天，每天监测3次。</w:t>
            </w:r>
          </w:p>
          <w:p>
            <w:pPr>
              <w:pStyle w:val="183"/>
              <w:ind w:left="0" w:leftChars="0" w:right="0" w:rightChars="0"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eastAsia="zh-CN"/>
              </w:rPr>
              <w:t>表</w:t>
            </w:r>
            <w:r>
              <w:rPr>
                <w:rFonts w:hint="eastAsia" w:cs="Times New Roman"/>
                <w:b/>
                <w:bCs/>
                <w:color w:val="auto"/>
                <w:sz w:val="21"/>
                <w:szCs w:val="21"/>
                <w:lang w:val="en-US" w:eastAsia="zh-CN"/>
              </w:rPr>
              <w:t>4-24 竣工环保验收监测计划</w:t>
            </w:r>
          </w:p>
          <w:tbl>
            <w:tblPr>
              <w:tblStyle w:val="38"/>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718"/>
              <w:gridCol w:w="3865"/>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监测类别</w:t>
                  </w:r>
                </w:p>
              </w:tc>
              <w:tc>
                <w:tcPr>
                  <w:tcW w:w="1718"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监测点位</w:t>
                  </w:r>
                </w:p>
              </w:tc>
              <w:tc>
                <w:tcPr>
                  <w:tcW w:w="3865"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监测因子</w:t>
                  </w:r>
                </w:p>
              </w:tc>
              <w:tc>
                <w:tcPr>
                  <w:tcW w:w="1753"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eastAsiaTheme="minorEastAsia"/>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w:t>
                  </w:r>
                  <w:r>
                    <w:rPr>
                      <w:rFonts w:hint="default" w:ascii="Times New Roman" w:hAnsi="Times New Roman" w:cs="Times New Roman"/>
                      <w:b/>
                      <w:bCs/>
                      <w:color w:val="auto"/>
                      <w:kern w:val="2"/>
                      <w:sz w:val="21"/>
                      <w:szCs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无组织废气</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污水处理站周边</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氨、硫化氢、臭气浓度、氯气、甲烷 （指处理站内最高体积百分数/%）</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监测2天，每天监测3次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噪声</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项目四面厂界</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Leq(A)</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监测2天，昼夜各监测1次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废水</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污水处理站进、出口</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rPr>
                    <w:t>pH值、BOD</w:t>
                  </w:r>
                  <w:r>
                    <w:rPr>
                      <w:rFonts w:hint="default" w:ascii="Times New Roman" w:hAnsi="Times New Roman" w:cs="Times New Roman"/>
                      <w:b w:val="0"/>
                      <w:bCs w:val="0"/>
                      <w:color w:val="auto"/>
                      <w:kern w:val="2"/>
                      <w:sz w:val="21"/>
                      <w:szCs w:val="21"/>
                      <w:vertAlign w:val="subscript"/>
                    </w:rPr>
                    <w:t>5</w:t>
                  </w:r>
                  <w:r>
                    <w:rPr>
                      <w:rFonts w:hint="default" w:ascii="Times New Roman" w:hAnsi="Times New Roman" w:cs="Times New Roman"/>
                      <w:b w:val="0"/>
                      <w:bCs w:val="0"/>
                      <w:color w:val="auto"/>
                      <w:kern w:val="2"/>
                      <w:sz w:val="21"/>
                      <w:szCs w:val="21"/>
                    </w:rPr>
                    <w:t>、COD、悬浮物（SS）、氨氮、动植物油、石油、阴离子表面活性剂、</w:t>
                  </w:r>
                  <w:r>
                    <w:rPr>
                      <w:rFonts w:hint="default" w:ascii="Times New Roman" w:hAnsi="Times New Roman" w:cs="Times New Roman"/>
                      <w:b w:val="0"/>
                      <w:bCs w:val="0"/>
                      <w:color w:val="auto"/>
                      <w:kern w:val="2"/>
                      <w:sz w:val="21"/>
                      <w:szCs w:val="21"/>
                      <w:lang w:eastAsia="zh-CN"/>
                    </w:rPr>
                    <w:t>粪</w:t>
                  </w:r>
                  <w:r>
                    <w:rPr>
                      <w:rFonts w:hint="default" w:ascii="Times New Roman" w:hAnsi="Times New Roman" w:cs="Times New Roman"/>
                      <w:b w:val="0"/>
                      <w:bCs w:val="0"/>
                      <w:color w:val="auto"/>
                      <w:kern w:val="2"/>
                      <w:sz w:val="21"/>
                      <w:szCs w:val="21"/>
                    </w:rPr>
                    <w:t>大肠菌群</w:t>
                  </w:r>
                  <w:r>
                    <w:rPr>
                      <w:rFonts w:hint="default" w:ascii="Times New Roman" w:hAnsi="Times New Roman" w:cs="Times New Roman"/>
                      <w:b w:val="0"/>
                      <w:bCs w:val="0"/>
                      <w:color w:val="auto"/>
                      <w:kern w:val="2"/>
                      <w:sz w:val="21"/>
                      <w:szCs w:val="21"/>
                      <w:lang w:eastAsia="zh-CN"/>
                    </w:rPr>
                    <w:t>、六价铬、总铬、总镉、总砷、总汞、总银、总铅、总氰化物、挥发酚、总余氯</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监测2天，每天监测3次</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2、环保措施竣工验收</w:t>
            </w:r>
            <w:r>
              <w:rPr>
                <w:rFonts w:hint="eastAsia" w:eastAsia="宋体" w:cs="Times New Roman"/>
                <w:b/>
                <w:bCs/>
                <w:color w:val="auto"/>
                <w:sz w:val="24"/>
                <w:szCs w:val="24"/>
                <w:vertAlign w:val="baseline"/>
                <w:lang w:val="en-US" w:eastAsia="zh-CN"/>
              </w:rPr>
              <w:t>内容</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hint="eastAsia" w:eastAsia="宋体" w:cs="Times New Roman"/>
                <w:color w:val="auto"/>
                <w:sz w:val="24"/>
                <w:szCs w:val="21"/>
                <w:lang w:val="en-US" w:eastAsia="zh-CN"/>
              </w:rPr>
            </w:pPr>
            <w:r>
              <w:rPr>
                <w:rFonts w:hint="default" w:ascii="Times New Roman" w:hAnsi="Times New Roman" w:eastAsia="宋体" w:cs="Times New Roman"/>
                <w:color w:val="auto"/>
                <w:sz w:val="24"/>
                <w:szCs w:val="21"/>
              </w:rPr>
              <w:t>建设项目需要配套建设的环境保护设施，必须与主体工程同时设计、同时施工、同时投产使用。建设项目的主体工程完工后，需要进行试运行的，其配套建设的环境保护设施必须与主体工程同时投入试运行。项目建设完成后由企业自行组织验收。项目的环境保护竣工验收一览表见</w:t>
            </w:r>
            <w:r>
              <w:rPr>
                <w:rFonts w:hint="eastAsia" w:eastAsia="宋体" w:cs="Times New Roman"/>
                <w:color w:val="auto"/>
                <w:sz w:val="24"/>
                <w:szCs w:val="21"/>
                <w:lang w:eastAsia="zh-CN"/>
              </w:rPr>
              <w:t>表</w:t>
            </w:r>
            <w:r>
              <w:rPr>
                <w:rFonts w:hint="eastAsia" w:eastAsia="宋体" w:cs="Times New Roman"/>
                <w:color w:val="auto"/>
                <w:sz w:val="24"/>
                <w:szCs w:val="21"/>
                <w:lang w:val="en-US" w:eastAsia="zh-CN"/>
              </w:rPr>
              <w:t>4-26。</w:t>
            </w:r>
          </w:p>
          <w:p>
            <w:pPr>
              <w:widowControl/>
              <w:spacing w:line="360" w:lineRule="auto"/>
              <w:ind w:left="425"/>
              <w:jc w:val="center"/>
              <w:rPr>
                <w:rFonts w:hint="default" w:ascii="Times New Roman" w:hAnsi="Times New Roman" w:eastAsia="宋体" w:cs="Times New Roman"/>
                <w:b/>
                <w:color w:val="auto"/>
                <w:sz w:val="21"/>
                <w:szCs w:val="21"/>
                <w:highlight w:val="none"/>
              </w:rPr>
            </w:pPr>
            <w:r>
              <w:rPr>
                <w:rStyle w:val="184"/>
                <w:rFonts w:hint="default" w:ascii="Times New Roman" w:hAnsi="Times New Roman" w:cs="Times New Roman"/>
                <w:color w:val="auto"/>
                <w:sz w:val="21"/>
                <w:szCs w:val="21"/>
                <w:highlight w:val="none"/>
              </w:rPr>
              <w:br w:type="page"/>
            </w: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项目环境保护竣工验收一览表</w:t>
            </w:r>
          </w:p>
          <w:tbl>
            <w:tblPr>
              <w:tblStyle w:val="37"/>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4784"/>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项目</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处理设施</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废水</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雨污分流，屋面及屋外雨水通过院内雨污管网及截排水沟收集后排入市政雨水管网。</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检验室废液收集桶，4只。</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污水处理池1个，占地面积150平方米；</w:t>
                  </w:r>
                  <w:r>
                    <w:rPr>
                      <w:rFonts w:hint="eastAsia" w:ascii="Times New Roman" w:hAnsi="Times New Roman" w:cs="Times New Roman"/>
                      <w:color w:val="auto"/>
                      <w:sz w:val="21"/>
                      <w:szCs w:val="21"/>
                      <w:lang w:eastAsia="zh-CN"/>
                    </w:rPr>
                    <w:t>化粪池一个，有效容积</w:t>
                  </w:r>
                  <w:r>
                    <w:rPr>
                      <w:rFonts w:hint="eastAsia" w:ascii="Times New Roman" w:hAnsi="Times New Roman" w:cs="Times New Roman"/>
                      <w:color w:val="auto"/>
                      <w:sz w:val="21"/>
                      <w:szCs w:val="21"/>
                      <w:lang w:val="en-US" w:eastAsia="zh-CN"/>
                    </w:rPr>
                    <w:t>50m³；</w:t>
                  </w:r>
                  <w:r>
                    <w:rPr>
                      <w:rFonts w:hint="default" w:ascii="Times New Roman" w:hAnsi="Times New Roman" w:eastAsia="宋体" w:cs="Times New Roman"/>
                      <w:color w:val="auto"/>
                      <w:sz w:val="21"/>
                      <w:szCs w:val="21"/>
                    </w:rPr>
                    <w:t>污水处理站1座，处理规模60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rPr>
                    <w:t>，规范化污水排放口1个。脱氯消毒池1个，有效容积20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《医疗机构水污染物排放标准》GB18466-2005表2中预处理标准和《污水排入城镇下水道水质标准》（GB/T31962-2015）表1（</w:t>
                  </w:r>
                  <w:r>
                    <w:rPr>
                      <w:rFonts w:hint="default" w:ascii="Times New Roman" w:hAnsi="Times New Roman" w:cs="Times New Roman"/>
                      <w:color w:val="auto"/>
                      <w:sz w:val="21"/>
                      <w:szCs w:val="21"/>
                      <w:lang w:eastAsia="zh-CN"/>
                    </w:rPr>
                    <w:t>B等级</w:t>
                  </w:r>
                  <w:r>
                    <w:rPr>
                      <w:rFonts w:hint="default" w:ascii="Times New Roman" w:hAnsi="Times New Roman" w:eastAsia="宋体" w:cs="Times New Roman"/>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废气</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污水处理站产生的废气加盖。医疗废物暂存间废气采用消毒喷雾对室内及周围空气进行消毒。</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 18466－2005）表3中污水处理站周边大气污染物最高允许浓度标准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噪声</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风机置于密闭的专门风机柜内，风机底座和基础安装减震设施，同时将风机柜设置成地埋式；备用发电机置于备用发电机房内；安装隔声门窗；设置减速带；禁鸣标识牌。</w:t>
                  </w:r>
                  <w:r>
                    <w:rPr>
                      <w:rFonts w:hint="eastAsia" w:ascii="Times New Roman" w:hAnsi="Times New Roman" w:cs="Times New Roman"/>
                      <w:color w:val="auto"/>
                      <w:sz w:val="21"/>
                      <w:szCs w:val="21"/>
                      <w:lang w:eastAsia="zh-CN"/>
                    </w:rPr>
                    <w:t>污水处理站及备用柴油发电机置于地下一层</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生活垃圾：大型移动式加盖生活垃圾收集桶、室内垃圾收集桶若干个。生活垃圾房1间，占地面积25.6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。统一收集后由环卫部门处置。</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5"/>
                    <w:adjustRightInd w:val="0"/>
                    <w:snapToGrid w:val="0"/>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医疗废物暂存间1间，建筑面积75.6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，医疗废物日产日清。签订</w:t>
                  </w:r>
                  <w:r>
                    <w:rPr>
                      <w:rFonts w:hint="eastAsia" w:ascii="Times New Roman" w:hAnsi="Times New Roman" w:cs="Times New Roman"/>
                      <w:color w:val="auto"/>
                      <w:sz w:val="21"/>
                      <w:szCs w:val="21"/>
                      <w:lang w:eastAsia="zh-CN"/>
                    </w:rPr>
                    <w:t>医疗废物</w:t>
                  </w:r>
                  <w:r>
                    <w:rPr>
                      <w:rFonts w:hint="default" w:ascii="Times New Roman" w:hAnsi="Times New Roman" w:eastAsia="宋体" w:cs="Times New Roman"/>
                      <w:color w:val="auto"/>
                      <w:sz w:val="21"/>
                      <w:szCs w:val="21"/>
                    </w:rPr>
                    <w:t>处置协议，医疗废物分区暂存</w:t>
                  </w:r>
                  <w:r>
                    <w:rPr>
                      <w:rFonts w:hint="eastAsia" w:ascii="Times New Roman" w:hAnsi="Times New Roman" w:cs="Times New Roman"/>
                      <w:color w:val="auto"/>
                      <w:sz w:val="21"/>
                      <w:szCs w:val="21"/>
                      <w:lang w:eastAsia="zh-CN"/>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5"/>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沉淀消毒池、污水处理站污泥消毒后</w:t>
                  </w:r>
                  <w:r>
                    <w:rPr>
                      <w:rFonts w:hint="default" w:ascii="Times New Roman" w:hAnsi="Times New Roman" w:cs="Times New Roman"/>
                      <w:color w:val="auto"/>
                      <w:sz w:val="21"/>
                      <w:szCs w:val="21"/>
                      <w:lang w:eastAsia="zh-CN"/>
                    </w:rPr>
                    <w:t>委托环卫部门清运处置。</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生态</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绿化面积40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地下水、土壤</w:t>
                  </w:r>
                </w:p>
              </w:tc>
              <w:tc>
                <w:tcPr>
                  <w:tcW w:w="770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医疗废物暂存间采用水泥+2mm厚HDPE+环氧树脂，渗透系数≤10</w:t>
                  </w:r>
                  <w:r>
                    <w:rPr>
                      <w:rFonts w:hint="default" w:ascii="Times New Roman" w:hAnsi="Times New Roman" w:cs="Times New Roman"/>
                      <w:color w:val="auto"/>
                      <w:kern w:val="2"/>
                      <w:sz w:val="21"/>
                      <w:szCs w:val="21"/>
                      <w:vertAlign w:val="superscript"/>
                    </w:rPr>
                    <w:t>-10</w:t>
                  </w:r>
                  <w:r>
                    <w:rPr>
                      <w:rFonts w:hint="default" w:ascii="Times New Roman" w:hAnsi="Times New Roman" w:cs="Times New Roman"/>
                      <w:color w:val="auto"/>
                      <w:kern w:val="2"/>
                      <w:sz w:val="21"/>
                      <w:szCs w:val="21"/>
                    </w:rPr>
                    <w:t>cm/s</w:t>
                  </w:r>
                  <w:r>
                    <w:rPr>
                      <w:rFonts w:hint="default" w:ascii="Times New Roman" w:hAnsi="Times New Roman" w:eastAsia="宋体" w:cs="Times New Roman"/>
                      <w:color w:val="auto"/>
                      <w:kern w:val="2"/>
                      <w:sz w:val="21"/>
                      <w:szCs w:val="21"/>
                    </w:rPr>
                    <w:t>，地面和1.0m高的墙裙必须硬化或贴瓷砖，方便清洁和消毒。医疗废物分类暂存。</w:t>
                  </w:r>
                </w:p>
              </w:tc>
            </w:tr>
          </w:tbl>
          <w:p>
            <w:pPr>
              <w:widowControl/>
              <w:spacing w:line="360" w:lineRule="auto"/>
              <w:ind w:left="425"/>
              <w:jc w:val="center"/>
              <w:rPr>
                <w:rFonts w:hint="default" w:ascii="Times New Roman" w:hAnsi="Times New Roman" w:eastAsia="宋体" w:cs="Times New Roman"/>
                <w:b/>
                <w:color w:val="auto"/>
                <w:sz w:val="21"/>
                <w:szCs w:val="21"/>
                <w:highlight w:val="none"/>
              </w:rPr>
            </w:pPr>
          </w:p>
          <w:p>
            <w:pPr>
              <w:ind w:left="0" w:leftChars="0" w:firstLine="0" w:firstLineChars="0"/>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ind w:left="0" w:leftChars="0" w:firstLine="0" w:firstLineChars="0"/>
              <w:rPr>
                <w:color w:val="auto"/>
              </w:rPr>
            </w:pPr>
          </w:p>
        </w:tc>
      </w:tr>
    </w:tbl>
    <w:p>
      <w:pPr>
        <w:pStyle w:val="4"/>
        <w:outlineLvl w:val="9"/>
        <w:rPr>
          <w:rFonts w:hint="eastAsia"/>
          <w:color w:val="auto"/>
        </w:rPr>
        <w:sectPr>
          <w:headerReference r:id="rId13" w:type="default"/>
          <w:footerReference r:id="rId14" w:type="default"/>
          <w:footerReference r:id="rId15" w:type="even"/>
          <w:pgSz w:w="11906" w:h="16838"/>
          <w:pgMar w:top="1440" w:right="1247" w:bottom="1440" w:left="1247" w:header="851" w:footer="835" w:gutter="0"/>
          <w:pgBorders>
            <w:top w:val="none" w:sz="0" w:space="0"/>
            <w:left w:val="none" w:sz="0" w:space="0"/>
            <w:bottom w:val="none" w:sz="0" w:space="0"/>
            <w:right w:val="none" w:sz="0" w:space="0"/>
          </w:pgBorders>
          <w:pgNumType w:fmt="decimal" w:start="1"/>
          <w:cols w:space="425" w:num="1"/>
          <w:docGrid w:type="linesAndChars" w:linePitch="326" w:charSpace="0"/>
        </w:sectPr>
      </w:pPr>
      <w:bookmarkStart w:id="108" w:name="_Toc376855818"/>
      <w:bookmarkStart w:id="109" w:name="_Toc341946649"/>
      <w:bookmarkStart w:id="110" w:name="_Toc458883643"/>
      <w:bookmarkStart w:id="111" w:name="_Toc68101069"/>
    </w:p>
    <w:p>
      <w:pPr>
        <w:pStyle w:val="4"/>
        <w:rPr>
          <w:color w:val="auto"/>
        </w:rPr>
      </w:pPr>
      <w:bookmarkStart w:id="112" w:name="_Toc10178"/>
      <w:r>
        <w:rPr>
          <w:rFonts w:hint="eastAsia"/>
          <w:color w:val="auto"/>
        </w:rPr>
        <w:t>五、</w:t>
      </w:r>
      <w:bookmarkEnd w:id="108"/>
      <w:bookmarkEnd w:id="109"/>
      <w:bookmarkEnd w:id="110"/>
      <w:r>
        <w:rPr>
          <w:rFonts w:hint="eastAsia"/>
          <w:color w:val="auto"/>
        </w:rPr>
        <w:t>环境保护措施监督检查清单</w:t>
      </w:r>
      <w:bookmarkEnd w:id="111"/>
      <w:bookmarkEnd w:id="112"/>
    </w:p>
    <w:tbl>
      <w:tblPr>
        <w:tblStyle w:val="37"/>
        <w:tblW w:w="92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5"/>
        <w:gridCol w:w="1903"/>
        <w:gridCol w:w="1948"/>
        <w:gridCol w:w="1957"/>
        <w:gridCol w:w="22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tcBorders>
              <w:tl2br w:val="single" w:color="auto" w:sz="12" w:space="0"/>
            </w:tcBorders>
          </w:tcPr>
          <w:p>
            <w:pPr>
              <w:adjustRightInd w:val="0"/>
              <w:snapToGrid w:val="0"/>
              <w:spacing w:line="360" w:lineRule="auto"/>
              <w:ind w:firstLine="0" w:firstLineChars="0"/>
              <w:jc w:val="right"/>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内容</w:t>
            </w:r>
          </w:p>
          <w:p>
            <w:pPr>
              <w:adjustRightInd w:val="0"/>
              <w:snapToGrid w:val="0"/>
              <w:spacing w:line="360" w:lineRule="auto"/>
              <w:ind w:firstLine="0" w:firstLineChars="0"/>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要素</w:t>
            </w:r>
          </w:p>
        </w:tc>
        <w:tc>
          <w:tcPr>
            <w:tcW w:w="1903"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排放口(编号、</w:t>
            </w:r>
          </w:p>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名称)/污染源</w:t>
            </w:r>
          </w:p>
        </w:tc>
        <w:tc>
          <w:tcPr>
            <w:tcW w:w="1948"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污染物项目</w:t>
            </w:r>
          </w:p>
        </w:tc>
        <w:tc>
          <w:tcPr>
            <w:tcW w:w="1957"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环境保护措施</w:t>
            </w:r>
          </w:p>
        </w:tc>
        <w:tc>
          <w:tcPr>
            <w:tcW w:w="2283"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1175" w:type="dxa"/>
            <w:vMerge w:val="restart"/>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大气环境</w:t>
            </w:r>
          </w:p>
        </w:tc>
        <w:tc>
          <w:tcPr>
            <w:tcW w:w="1903" w:type="dxa"/>
            <w:tcBorders>
              <w:bottom w:val="single" w:color="auto" w:sz="4" w:space="0"/>
            </w:tcBorders>
            <w:vAlign w:val="center"/>
          </w:tcPr>
          <w:p>
            <w:pPr>
              <w:pStyle w:val="146"/>
              <w:spacing w:line="360" w:lineRule="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cs="Times New Roman"/>
                <w:color w:val="auto"/>
                <w:spacing w:val="0"/>
                <w:kern w:val="2"/>
                <w:sz w:val="24"/>
                <w:szCs w:val="24"/>
              </w:rPr>
              <w:t>化粪池、医疗废物暂存间</w:t>
            </w:r>
            <w:r>
              <w:rPr>
                <w:rFonts w:hint="default" w:ascii="Times New Roman" w:hAnsi="Times New Roman" w:cs="Times New Roman"/>
                <w:color w:val="auto"/>
                <w:spacing w:val="0"/>
                <w:kern w:val="2"/>
                <w:sz w:val="24"/>
                <w:szCs w:val="24"/>
                <w:lang w:val="en-US" w:eastAsia="zh-CN"/>
              </w:rPr>
              <w:t>1间，75.6㎡</w:t>
            </w:r>
          </w:p>
        </w:tc>
        <w:tc>
          <w:tcPr>
            <w:tcW w:w="1948" w:type="dxa"/>
            <w:tcBorders>
              <w:bottom w:val="single" w:color="auto" w:sz="4" w:space="0"/>
            </w:tcBorders>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异味</w:t>
            </w:r>
          </w:p>
        </w:tc>
        <w:tc>
          <w:tcPr>
            <w:tcW w:w="1957" w:type="dxa"/>
            <w:vMerge w:val="restart"/>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污水处理站位于</w:t>
            </w:r>
            <w:r>
              <w:rPr>
                <w:rFonts w:hint="default" w:ascii="Times New Roman" w:hAnsi="Times New Roman" w:cs="Times New Roman"/>
                <w:color w:val="auto"/>
                <w:spacing w:val="0"/>
                <w:kern w:val="2"/>
                <w:sz w:val="24"/>
                <w:szCs w:val="24"/>
                <w:lang w:eastAsia="zh-CN"/>
              </w:rPr>
              <w:t>医院南</w:t>
            </w:r>
            <w:r>
              <w:rPr>
                <w:rFonts w:hint="default" w:ascii="Times New Roman" w:hAnsi="Times New Roman" w:cs="Times New Roman"/>
                <w:color w:val="auto"/>
                <w:spacing w:val="0"/>
                <w:kern w:val="2"/>
                <w:sz w:val="24"/>
                <w:szCs w:val="24"/>
              </w:rPr>
              <w:t>侧</w:t>
            </w:r>
            <w:r>
              <w:rPr>
                <w:rFonts w:hint="default" w:ascii="Times New Roman" w:hAnsi="Times New Roman" w:cs="Times New Roman"/>
                <w:color w:val="auto"/>
                <w:spacing w:val="0"/>
                <w:kern w:val="2"/>
                <w:sz w:val="24"/>
                <w:szCs w:val="24"/>
                <w:lang w:eastAsia="zh-CN"/>
              </w:rPr>
              <w:t>地下一层，污水处理站采用地埋式，并在污水处理池顶部加盖。</w:t>
            </w:r>
          </w:p>
        </w:tc>
        <w:tc>
          <w:tcPr>
            <w:tcW w:w="2283" w:type="dxa"/>
            <w:tcBorders>
              <w:bottom w:val="single" w:color="auto" w:sz="4" w:space="0"/>
            </w:tcBorders>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1175" w:type="dxa"/>
            <w:vMerge w:val="continue"/>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p>
        </w:tc>
        <w:tc>
          <w:tcPr>
            <w:tcW w:w="1903" w:type="dxa"/>
            <w:tcBorders>
              <w:top w:val="single" w:color="auto" w:sz="4" w:space="0"/>
            </w:tcBorders>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w:t>
            </w:r>
          </w:p>
        </w:tc>
        <w:tc>
          <w:tcPr>
            <w:tcW w:w="1948" w:type="dxa"/>
            <w:tcBorders>
              <w:top w:val="single" w:color="auto" w:sz="4" w:space="0"/>
            </w:tcBorders>
            <w:vAlign w:val="center"/>
          </w:tcPr>
          <w:p>
            <w:pPr>
              <w:pStyle w:val="146"/>
              <w:spacing w:line="360" w:lineRule="auto"/>
              <w:rPr>
                <w:rFonts w:hint="default" w:ascii="Times New Roman" w:hAnsi="Times New Roman" w:eastAsia="宋体" w:cs="Times New Roman"/>
                <w:color w:val="auto"/>
                <w:spacing w:val="0"/>
                <w:kern w:val="2"/>
                <w:sz w:val="24"/>
                <w:szCs w:val="24"/>
                <w:lang w:eastAsia="zh-CN"/>
              </w:rPr>
            </w:pPr>
            <w:r>
              <w:rPr>
                <w:rFonts w:hint="default" w:ascii="Times New Roman" w:hAnsi="Times New Roman" w:cs="Times New Roman"/>
                <w:color w:val="auto"/>
                <w:spacing w:val="0"/>
                <w:kern w:val="2"/>
                <w:sz w:val="24"/>
                <w:szCs w:val="24"/>
              </w:rPr>
              <w:t>氨、硫化氢、臭气浓度</w:t>
            </w:r>
            <w:r>
              <w:rPr>
                <w:rFonts w:hint="default" w:ascii="Times New Roman" w:hAnsi="Times New Roman" w:cs="Times New Roman"/>
                <w:color w:val="auto"/>
                <w:spacing w:val="0"/>
                <w:kern w:val="2"/>
                <w:sz w:val="24"/>
                <w:szCs w:val="24"/>
                <w:lang w:eastAsia="zh-CN"/>
              </w:rPr>
              <w:t>、甲烷、氯气浓度</w:t>
            </w:r>
          </w:p>
        </w:tc>
        <w:tc>
          <w:tcPr>
            <w:tcW w:w="1957" w:type="dxa"/>
            <w:vMerge w:val="continue"/>
            <w:vAlign w:val="center"/>
          </w:tcPr>
          <w:p>
            <w:pPr>
              <w:pStyle w:val="146"/>
              <w:spacing w:line="360" w:lineRule="auto"/>
              <w:rPr>
                <w:rFonts w:hint="default" w:ascii="Times New Roman" w:hAnsi="Times New Roman" w:cs="Times New Roman"/>
                <w:color w:val="auto"/>
                <w:spacing w:val="0"/>
                <w:kern w:val="2"/>
                <w:sz w:val="24"/>
                <w:szCs w:val="24"/>
              </w:rPr>
            </w:pPr>
          </w:p>
        </w:tc>
        <w:tc>
          <w:tcPr>
            <w:tcW w:w="2283" w:type="dxa"/>
            <w:tcBorders>
              <w:top w:val="single" w:color="auto" w:sz="4" w:space="0"/>
            </w:tcBorders>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执行《医疗机构水污染物排放标准》（GB18466－2005）表3中污水处理站周边大气污染物最高允许浓度标准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地表水环境</w:t>
            </w:r>
          </w:p>
        </w:tc>
        <w:tc>
          <w:tcPr>
            <w:tcW w:w="190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污水排放口（DW001）</w:t>
            </w:r>
          </w:p>
        </w:tc>
        <w:tc>
          <w:tcPr>
            <w:tcW w:w="1948"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bidi="ar-SA"/>
              </w:rPr>
              <w:t>pH值、BOD</w:t>
            </w:r>
            <w:r>
              <w:rPr>
                <w:rFonts w:hint="default" w:ascii="Times New Roman" w:hAnsi="Times New Roman" w:eastAsia="宋体" w:cs="Times New Roman"/>
                <w:color w:val="auto"/>
                <w:spacing w:val="0"/>
                <w:kern w:val="2"/>
                <w:sz w:val="24"/>
                <w:szCs w:val="24"/>
                <w:vertAlign w:val="subscript"/>
                <w:lang w:val="en-US" w:eastAsia="zh-CN" w:bidi="ar-SA"/>
              </w:rPr>
              <w:t>5</w:t>
            </w:r>
            <w:r>
              <w:rPr>
                <w:rFonts w:hint="default" w:ascii="Times New Roman" w:hAnsi="Times New Roman" w:eastAsia="宋体" w:cs="Times New Roman"/>
                <w:color w:val="auto"/>
                <w:spacing w:val="0"/>
                <w:kern w:val="2"/>
                <w:sz w:val="24"/>
                <w:szCs w:val="24"/>
                <w:lang w:val="en-US" w:eastAsia="zh-CN" w:bidi="ar-SA"/>
              </w:rPr>
              <w:t>、COD、悬浮物（SS）、氨氮、动植物油、石油、阴离子表面活性剂、粪大肠菌群、六价铬、总铬、总镉、总砷、总汞、总银、总铅、总氰化物、挥发酚、总余氯。</w:t>
            </w:r>
          </w:p>
        </w:tc>
        <w:tc>
          <w:tcPr>
            <w:tcW w:w="1957"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lang w:val="en-US" w:eastAsia="zh-CN"/>
              </w:rPr>
              <w:t>“生物接触氧化池+MBR反应池+消毒”工艺，污水处理站处理规模为60m³/d。</w:t>
            </w:r>
          </w:p>
        </w:tc>
        <w:tc>
          <w:tcPr>
            <w:tcW w:w="2283" w:type="dxa"/>
            <w:vAlign w:val="center"/>
          </w:tcPr>
          <w:p>
            <w:pPr>
              <w:pStyle w:val="146"/>
              <w:spacing w:line="360" w:lineRule="auto"/>
              <w:jc w:val="both"/>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cs="Times New Roman"/>
                <w:color w:val="auto"/>
                <w:spacing w:val="0"/>
                <w:kern w:val="2"/>
                <w:sz w:val="24"/>
                <w:szCs w:val="24"/>
              </w:rPr>
              <w:t>《医疗机构水污染物排放标准》GB18466-2005表2中预处理标准</w:t>
            </w:r>
            <w:r>
              <w:rPr>
                <w:rFonts w:hint="default" w:ascii="Times New Roman" w:hAnsi="Times New Roman" w:cs="Times New Roman"/>
                <w:color w:val="auto"/>
                <w:spacing w:val="0"/>
                <w:kern w:val="2"/>
                <w:sz w:val="24"/>
                <w:szCs w:val="24"/>
                <w:lang w:val="en-US" w:eastAsia="zh-CN"/>
              </w:rPr>
              <w:t>和《污水排入城镇下水道水质标准》（GB/T31962-2015）表1（</w:t>
            </w:r>
            <w:r>
              <w:rPr>
                <w:rFonts w:hint="eastAsia" w:cs="Times New Roman"/>
                <w:color w:val="auto"/>
                <w:spacing w:val="0"/>
                <w:kern w:val="2"/>
                <w:sz w:val="24"/>
                <w:szCs w:val="24"/>
                <w:lang w:val="en-US" w:eastAsia="zh-CN"/>
              </w:rPr>
              <w:t>B等级</w:t>
            </w:r>
            <w:r>
              <w:rPr>
                <w:rFonts w:hint="default" w:ascii="Times New Roman" w:hAnsi="Times New Roman" w:cs="Times New Roman"/>
                <w:color w:val="auto"/>
                <w:spacing w:val="0"/>
                <w:kern w:val="2"/>
                <w:sz w:val="24"/>
                <w:szCs w:val="24"/>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声环境</w:t>
            </w:r>
          </w:p>
        </w:tc>
        <w:tc>
          <w:tcPr>
            <w:tcW w:w="190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污水处理站运行时的水泵、风机</w:t>
            </w:r>
          </w:p>
        </w:tc>
        <w:tc>
          <w:tcPr>
            <w:tcW w:w="1948"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连续等效A声级</w:t>
            </w:r>
          </w:p>
        </w:tc>
        <w:tc>
          <w:tcPr>
            <w:tcW w:w="1957" w:type="dxa"/>
            <w:vAlign w:val="center"/>
          </w:tcPr>
          <w:p>
            <w:pPr>
              <w:pStyle w:val="146"/>
              <w:spacing w:line="360" w:lineRule="auto"/>
              <w:rPr>
                <w:rFonts w:hint="default" w:ascii="Times New Roman" w:hAnsi="Times New Roman" w:eastAsia="宋体" w:cs="Times New Roman"/>
                <w:color w:val="auto"/>
                <w:spacing w:val="0"/>
                <w:kern w:val="2"/>
                <w:sz w:val="24"/>
                <w:szCs w:val="24"/>
                <w:lang w:eastAsia="zh-CN"/>
              </w:rPr>
            </w:pPr>
            <w:r>
              <w:rPr>
                <w:rFonts w:hint="default" w:ascii="Times New Roman" w:hAnsi="Times New Roman" w:cs="Times New Roman"/>
                <w:color w:val="auto"/>
                <w:spacing w:val="0"/>
                <w:kern w:val="2"/>
                <w:sz w:val="24"/>
                <w:szCs w:val="24"/>
              </w:rPr>
              <w:t>选用优质低噪声的风机，风机置于密闭的专门风机柜内，风机底座和基础安装减震设施，同时将风机柜设置成半地埋式</w:t>
            </w:r>
            <w:r>
              <w:rPr>
                <w:rFonts w:hint="default" w:ascii="Times New Roman" w:hAnsi="Times New Roman" w:cs="Times New Roman"/>
                <w:color w:val="auto"/>
                <w:spacing w:val="0"/>
                <w:kern w:val="2"/>
                <w:sz w:val="24"/>
                <w:szCs w:val="24"/>
                <w:lang w:eastAsia="zh-CN"/>
              </w:rPr>
              <w:t>；病房采用隔声玻璃。</w:t>
            </w:r>
          </w:p>
        </w:tc>
        <w:tc>
          <w:tcPr>
            <w:tcW w:w="228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电磁辐射</w:t>
            </w:r>
          </w:p>
        </w:tc>
        <w:tc>
          <w:tcPr>
            <w:tcW w:w="1903"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1948"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1957"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2283"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固体废物</w:t>
            </w:r>
          </w:p>
        </w:tc>
        <w:tc>
          <w:tcPr>
            <w:tcW w:w="8091"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fldChar w:fldCharType="begin"/>
            </w:r>
            <w:r>
              <w:rPr>
                <w:rFonts w:hint="default" w:ascii="Times New Roman" w:hAnsi="Times New Roman" w:eastAsia="宋体" w:cs="Times New Roman"/>
                <w:color w:val="auto"/>
                <w:spacing w:val="0"/>
                <w:kern w:val="2"/>
                <w:sz w:val="24"/>
                <w:szCs w:val="24"/>
              </w:rPr>
              <w:instrText xml:space="preserve"> = 1 \* GB3 </w:instrText>
            </w:r>
            <w:r>
              <w:rPr>
                <w:rFonts w:hint="default" w:ascii="Times New Roman" w:hAnsi="Times New Roman" w:eastAsia="宋体" w:cs="Times New Roman"/>
                <w:color w:val="auto"/>
                <w:spacing w:val="0"/>
                <w:kern w:val="2"/>
                <w:sz w:val="24"/>
                <w:szCs w:val="24"/>
              </w:rPr>
              <w:fldChar w:fldCharType="separate"/>
            </w:r>
            <w:r>
              <w:rPr>
                <w:rFonts w:hint="default" w:ascii="Times New Roman" w:hAnsi="Times New Roman" w:eastAsia="宋体" w:cs="Times New Roman"/>
                <w:color w:val="auto"/>
                <w:spacing w:val="0"/>
                <w:kern w:val="2"/>
                <w:sz w:val="24"/>
                <w:szCs w:val="24"/>
              </w:rPr>
              <w:t>①</w:t>
            </w:r>
            <w:r>
              <w:rPr>
                <w:rFonts w:hint="default" w:ascii="Times New Roman" w:hAnsi="Times New Roman" w:eastAsia="宋体" w:cs="Times New Roman"/>
                <w:color w:val="auto"/>
                <w:spacing w:val="0"/>
                <w:kern w:val="2"/>
                <w:sz w:val="24"/>
                <w:szCs w:val="24"/>
              </w:rPr>
              <w:fldChar w:fldCharType="end"/>
            </w:r>
            <w:r>
              <w:rPr>
                <w:rFonts w:hint="default" w:ascii="Times New Roman" w:hAnsi="Times New Roman" w:eastAsia="宋体" w:cs="Times New Roman"/>
                <w:color w:val="auto"/>
                <w:spacing w:val="0"/>
                <w:kern w:val="2"/>
                <w:sz w:val="24"/>
                <w:szCs w:val="24"/>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生活垃圾经分类收集后可回收部分回收利用，不可回收部分收集于垃圾收集桶内，委托当地环卫部门定期清运处置。</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fldChar w:fldCharType="begin"/>
            </w:r>
            <w:r>
              <w:rPr>
                <w:rFonts w:hint="default" w:ascii="Times New Roman" w:hAnsi="Times New Roman" w:cs="Times New Roman"/>
                <w:color w:val="auto"/>
                <w:spacing w:val="0"/>
                <w:kern w:val="2"/>
                <w:sz w:val="24"/>
                <w:szCs w:val="24"/>
              </w:rPr>
              <w:instrText xml:space="preserve"> = 2 \* GB3 </w:instrText>
            </w:r>
            <w:r>
              <w:rPr>
                <w:rFonts w:hint="default" w:ascii="Times New Roman" w:hAnsi="Times New Roman" w:cs="Times New Roman"/>
                <w:color w:val="auto"/>
                <w:spacing w:val="0"/>
                <w:kern w:val="2"/>
                <w:sz w:val="24"/>
                <w:szCs w:val="24"/>
              </w:rPr>
              <w:fldChar w:fldCharType="separate"/>
            </w:r>
            <w:r>
              <w:rPr>
                <w:rFonts w:hint="default" w:ascii="Times New Roman" w:hAnsi="Times New Roman" w:cs="Times New Roman"/>
                <w:color w:val="auto"/>
                <w:spacing w:val="0"/>
                <w:kern w:val="2"/>
                <w:sz w:val="24"/>
                <w:szCs w:val="24"/>
              </w:rPr>
              <w:t>②</w:t>
            </w:r>
            <w:r>
              <w:rPr>
                <w:rFonts w:hint="default" w:ascii="Times New Roman" w:hAnsi="Times New Roman" w:cs="Times New Roman"/>
                <w:color w:val="auto"/>
                <w:spacing w:val="0"/>
                <w:kern w:val="2"/>
                <w:sz w:val="24"/>
                <w:szCs w:val="24"/>
              </w:rPr>
              <w:fldChar w:fldCharType="end"/>
            </w:r>
            <w:r>
              <w:rPr>
                <w:rFonts w:hint="default" w:ascii="Times New Roman" w:hAnsi="Times New Roman" w:cs="Times New Roman"/>
                <w:color w:val="auto"/>
                <w:spacing w:val="0"/>
                <w:kern w:val="2"/>
                <w:sz w:val="24"/>
                <w:szCs w:val="24"/>
              </w:rPr>
              <w:t>医疗废物</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严格按照《医疗废物管理条例》要求，对其收集、运送、贮存、处理处置过程统一监督管理，建设一座</w:t>
            </w:r>
            <w:r>
              <w:rPr>
                <w:rFonts w:hint="default" w:ascii="Times New Roman" w:hAnsi="Times New Roman" w:cs="Times New Roman"/>
                <w:color w:val="auto"/>
                <w:spacing w:val="0"/>
                <w:kern w:val="2"/>
                <w:sz w:val="24"/>
                <w:szCs w:val="24"/>
                <w:lang w:val="en-US" w:eastAsia="zh-CN"/>
              </w:rPr>
              <w:t>75.6</w:t>
            </w:r>
            <w:r>
              <w:rPr>
                <w:rFonts w:hint="default" w:ascii="Times New Roman" w:hAnsi="Times New Roman" w:cs="Times New Roman"/>
                <w:color w:val="auto"/>
                <w:spacing w:val="0"/>
                <w:kern w:val="2"/>
                <w:sz w:val="24"/>
                <w:szCs w:val="24"/>
              </w:rPr>
              <w:t>m</w:t>
            </w:r>
            <w:r>
              <w:rPr>
                <w:rFonts w:hint="default" w:ascii="Times New Roman" w:hAnsi="Times New Roman" w:cs="Times New Roman"/>
                <w:color w:val="auto"/>
                <w:spacing w:val="0"/>
                <w:kern w:val="2"/>
                <w:sz w:val="24"/>
                <w:szCs w:val="24"/>
                <w:vertAlign w:val="superscript"/>
              </w:rPr>
              <w:t>2</w:t>
            </w:r>
            <w:r>
              <w:rPr>
                <w:rFonts w:hint="default" w:ascii="Times New Roman" w:hAnsi="Times New Roman" w:cs="Times New Roman"/>
                <w:color w:val="auto"/>
                <w:spacing w:val="0"/>
                <w:kern w:val="2"/>
                <w:sz w:val="24"/>
                <w:szCs w:val="24"/>
              </w:rPr>
              <w:t>的医疗废物暂存间</w:t>
            </w:r>
            <w:r>
              <w:rPr>
                <w:rFonts w:hint="eastAsia" w:cs="Times New Roman"/>
                <w:color w:val="auto"/>
                <w:spacing w:val="0"/>
                <w:kern w:val="2"/>
                <w:sz w:val="24"/>
                <w:szCs w:val="24"/>
                <w:lang w:eastAsia="zh-CN"/>
              </w:rPr>
              <w:t>，医疗废物分类存放，病理性废物设置冰柜暂存</w:t>
            </w:r>
            <w:r>
              <w:rPr>
                <w:rFonts w:hint="default" w:ascii="Times New Roman" w:hAnsi="Times New Roman" w:cs="Times New Roman"/>
                <w:color w:val="auto"/>
                <w:spacing w:val="0"/>
                <w:kern w:val="2"/>
                <w:sz w:val="24"/>
                <w:szCs w:val="24"/>
              </w:rPr>
              <w:t>，委托有资质的单位处置。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土壤及地下水污染防治措施</w:t>
            </w:r>
          </w:p>
        </w:tc>
        <w:tc>
          <w:tcPr>
            <w:tcW w:w="8091" w:type="dxa"/>
            <w:gridSpan w:val="4"/>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 w:val="24"/>
                <w:szCs w:val="24"/>
                <w:lang w:eastAsia="zh-CN"/>
              </w:rPr>
            </w:pPr>
            <w:r>
              <w:rPr>
                <w:rFonts w:hint="default" w:ascii="Times New Roman" w:hAnsi="Times New Roman" w:cs="Times New Roman"/>
                <w:color w:val="auto"/>
                <w:spacing w:val="0"/>
                <w:kern w:val="2"/>
                <w:sz w:val="24"/>
                <w:szCs w:val="24"/>
                <w:lang w:val="en-US" w:eastAsia="zh-CN"/>
              </w:rPr>
              <w:t>分区防渗。制定项目突发环境事件应急预案。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生态保护措施</w:t>
            </w:r>
          </w:p>
        </w:tc>
        <w:tc>
          <w:tcPr>
            <w:tcW w:w="8091" w:type="dxa"/>
            <w:gridSpan w:val="4"/>
            <w:vAlign w:val="center"/>
          </w:tcPr>
          <w:p>
            <w:pPr>
              <w:adjustRightInd w:val="0"/>
              <w:snapToGrid w:val="0"/>
              <w:spacing w:line="360" w:lineRule="auto"/>
              <w:ind w:firstLine="0" w:firstLineChars="0"/>
              <w:jc w:val="both"/>
              <w:rPr>
                <w:rFonts w:hint="default" w:ascii="Times New Roman" w:hAnsi="Times New Roman" w:cs="Times New Roman" w:eastAsiaTheme="minorEastAsia"/>
                <w:color w:val="auto"/>
                <w:spacing w:val="0"/>
                <w:kern w:val="2"/>
                <w:sz w:val="24"/>
                <w:szCs w:val="24"/>
                <w:lang w:eastAsia="zh-CN"/>
              </w:rPr>
            </w:pPr>
            <w:r>
              <w:rPr>
                <w:rFonts w:hint="default" w:ascii="Times New Roman" w:hAnsi="Times New Roman" w:cs="Times New Roman"/>
                <w:color w:val="auto"/>
                <w:spacing w:val="0"/>
                <w:kern w:val="2"/>
                <w:sz w:val="24"/>
                <w:szCs w:val="24"/>
              </w:rPr>
              <w:t>加强绿化，对项目区尽可能进行绿化</w:t>
            </w:r>
            <w:r>
              <w:rPr>
                <w:rFonts w:hint="default" w:ascii="Times New Roman" w:hAnsi="Times New Roman" w:cs="Times New Roman"/>
                <w:color w:val="auto"/>
                <w:spacing w:val="0"/>
                <w:kern w:val="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环境风险防范措施</w:t>
            </w:r>
          </w:p>
        </w:tc>
        <w:tc>
          <w:tcPr>
            <w:tcW w:w="8091"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1）乙醇环境风险防范措施：①暂存、领用时，量不能过大。②应存储于阴凉、通风的库房，采用防爆型照明、通风设施，保持容器密封。远离火种、热源，储存温度不宜超过30℃。应与氧化剂、酸类、碱金属、胺类等分开存放，切忌混储。③发生泄漏时，迅速撤离泄漏污染区人员至安全区，并进行隔离，严格限制出入。切断火源。建议应急处理人员戴自给</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"https://baike.baidu.com/item/%E6%AD%A3%E5%8E%8B%E5%BC%8F%E5%91%BC%E5%90%B8%E5%99%A8"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正压式呼吸器</w:t>
            </w:r>
            <w:r>
              <w:rPr>
                <w:rFonts w:hint="default" w:ascii="Times New Roman" w:hAnsi="Times New Roman" w:cs="Times New Roman"/>
                <w:color w:val="auto"/>
              </w:rPr>
              <w:fldChar w:fldCharType="end"/>
            </w:r>
            <w:r>
              <w:rPr>
                <w:rFonts w:hint="default" w:ascii="Times New Roman" w:hAnsi="Times New Roman" w:cs="Times New Roman"/>
                <w:color w:val="auto"/>
              </w:rPr>
              <w:t>，穿</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"https://baike.baidu.com/item/%E6%B6%88%E9%98%B2%E9%98%B2%E6%8A%A4%E6%9C%8D"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消防防护服</w:t>
            </w:r>
            <w:r>
              <w:rPr>
                <w:rFonts w:hint="default" w:ascii="Times New Roman" w:hAnsi="Times New Roman" w:cs="Times New Roman"/>
                <w:color w:val="auto"/>
              </w:rPr>
              <w:fldChar w:fldCharType="end"/>
            </w:r>
            <w:r>
              <w:rPr>
                <w:rFonts w:hint="default" w:ascii="Times New Roman" w:hAnsi="Times New Roman" w:cs="Times New Roman"/>
                <w:color w:val="auto"/>
              </w:rPr>
              <w:t>。尽可能切断泄漏源，防止进入下水道、排洪沟等限制性空间。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2）次氯酸钠环境风险防范措施：①应储存于阴凉、通风的库房，远离火种、热源，储存温度不宜超过30℃，应与碱类分开存放，切忌混储。②操作人员必须经过专门培训，严格遵守操作规程。③若发生泄漏，尽可能切断泄漏源。防止泄漏物进入水体、下水道、地下室或密闭性空间。小量泄漏：用干燥的砂土或其它不燃材料吸收或覆盖，收集于容器中。大量泄漏：构筑围堤或挖坑收容。用耐腐蚀泵转移至槽车或专用收集器内。</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eastAsia="宋体"/>
                <w:color w:val="auto"/>
                <w:lang w:eastAsia="zh-CN"/>
              </w:rPr>
            </w:pPr>
            <w:r>
              <w:rPr>
                <w:rFonts w:hint="default" w:ascii="Times New Roman" w:hAnsi="Times New Roman" w:cs="Times New Roman"/>
                <w:color w:val="auto"/>
                <w:spacing w:val="0"/>
                <w:kern w:val="2"/>
                <w:sz w:val="24"/>
                <w:szCs w:val="24"/>
                <w:lang w:eastAsia="zh-CN"/>
              </w:rPr>
              <w:t>（</w:t>
            </w:r>
            <w:r>
              <w:rPr>
                <w:rFonts w:hint="default" w:ascii="Times New Roman" w:hAnsi="Times New Roman" w:cs="Times New Roman"/>
                <w:color w:val="auto"/>
                <w:spacing w:val="0"/>
                <w:kern w:val="2"/>
                <w:sz w:val="24"/>
                <w:szCs w:val="24"/>
                <w:lang w:val="en-US" w:eastAsia="zh-CN"/>
              </w:rPr>
              <w:t>3</w:t>
            </w:r>
            <w:r>
              <w:rPr>
                <w:rFonts w:hint="default" w:ascii="Times New Roman" w:hAnsi="Times New Roman" w:cs="Times New Roman"/>
                <w:color w:val="auto"/>
                <w:spacing w:val="0"/>
                <w:kern w:val="2"/>
                <w:sz w:val="24"/>
                <w:szCs w:val="24"/>
                <w:lang w:eastAsia="zh-CN"/>
              </w:rPr>
              <w:t>）柴油环境风险防范措施：</w:t>
            </w:r>
            <w:r>
              <w:rPr>
                <w:rFonts w:hint="eastAsia" w:ascii="Times New Roman" w:hAnsi="Times New Roman" w:cs="Times New Roman"/>
                <w:color w:val="auto"/>
                <w:spacing w:val="0"/>
                <w:kern w:val="2"/>
                <w:sz w:val="24"/>
                <w:szCs w:val="24"/>
                <w:lang w:eastAsia="zh-CN"/>
              </w:rPr>
              <w:t>①采用专用容器盛装柴油，并置于柴油发电机房内，远离火种、热源；②柴油发电机铺设防渗材料；③配备相应的消防器材和消防沙，防止泄漏物进入水体、下水道、地下室或密闭性空间。小量泄漏：用干燥的砂土或其它不燃材料吸收或覆盖，收集于容器中。大量泄漏：构筑围堤或挖坑收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9"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其他环境管理要求</w:t>
            </w:r>
          </w:p>
        </w:tc>
        <w:tc>
          <w:tcPr>
            <w:tcW w:w="8091" w:type="dxa"/>
            <w:gridSpan w:val="4"/>
            <w:vAlign w:val="center"/>
          </w:tcPr>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一、环境管理要求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随着国民经济的不断发展，建设项目日益增多，对环境的影响也越来越大。为了保护环境不受侵害，必须加强环境管理。环境管理是通过各种法规、制度的实施来实现的，其中环境影响评价制度和</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三同时</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制度（即环保设施与主体工程同时设计、同时施工、同时投产）是最重要的组成部分。随着经济的不断发展，环境管理也在不断深化，从局部环境扩大到区域环境管理，从分散控制到区域控制，从单一浓度控制发展到浓度与总量相结合的控制，从注重末端控制到提倡清洁工艺的源头控制，从单一的污染型环境管理发展到同时注重非污染型（生态、水土流失、景观等）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1、</w:t>
            </w:r>
            <w:r>
              <w:rPr>
                <w:rFonts w:hint="default" w:ascii="Times New Roman" w:hAnsi="Times New Roman" w:eastAsia="宋体" w:cs="Times New Roman"/>
                <w:b/>
                <w:bCs/>
                <w:color w:val="auto"/>
                <w:spacing w:val="0"/>
                <w:kern w:val="2"/>
                <w:sz w:val="24"/>
                <w:szCs w:val="24"/>
              </w:rPr>
              <w:t>环境管理机构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本项目配备环保人员1人，负责项目区的环境管理工作。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（1）</w:t>
            </w:r>
            <w:r>
              <w:rPr>
                <w:rFonts w:hint="default" w:ascii="Times New Roman" w:hAnsi="Times New Roman" w:eastAsia="宋体" w:cs="Times New Roman"/>
                <w:b/>
                <w:bCs/>
                <w:color w:val="auto"/>
                <w:spacing w:val="0"/>
                <w:kern w:val="2"/>
                <w:sz w:val="24"/>
                <w:szCs w:val="24"/>
              </w:rPr>
              <w:t>工程前期的环境管理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1）</w:t>
            </w:r>
            <w:r>
              <w:rPr>
                <w:rFonts w:hint="default" w:ascii="Times New Roman" w:hAnsi="Times New Roman" w:eastAsia="宋体" w:cs="Times New Roman"/>
                <w:color w:val="auto"/>
                <w:spacing w:val="0"/>
                <w:kern w:val="2"/>
                <w:sz w:val="24"/>
                <w:szCs w:val="24"/>
              </w:rPr>
              <w:t>负责办理项目环境影响评价等委托编制和审批。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在设计阶段，本报告表中提出的各项环保措施应列入设计之中，并落实资金。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3）</w:t>
            </w:r>
            <w:r>
              <w:rPr>
                <w:rFonts w:hint="default" w:ascii="Times New Roman" w:hAnsi="Times New Roman" w:eastAsia="宋体" w:cs="Times New Roman"/>
                <w:color w:val="auto"/>
                <w:spacing w:val="0"/>
                <w:kern w:val="2"/>
                <w:sz w:val="24"/>
                <w:szCs w:val="24"/>
              </w:rPr>
              <w:t>加强施工期环境工程监理与施工队伍管理，严格执行</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三同时</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制度，建立环境管理制度，环保实施计划应有专门记录，并设立运行台账，并报环保部门备案。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（2）</w:t>
            </w:r>
            <w:r>
              <w:rPr>
                <w:rFonts w:hint="default" w:ascii="Times New Roman" w:hAnsi="Times New Roman" w:eastAsia="宋体" w:cs="Times New Roman"/>
                <w:b/>
                <w:bCs/>
                <w:color w:val="auto"/>
                <w:spacing w:val="0"/>
                <w:kern w:val="2"/>
                <w:sz w:val="24"/>
                <w:szCs w:val="24"/>
              </w:rPr>
              <w:t>运营期环境管理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1）</w:t>
            </w:r>
            <w:r>
              <w:rPr>
                <w:rFonts w:hint="default" w:ascii="Times New Roman" w:hAnsi="Times New Roman" w:eastAsia="宋体" w:cs="Times New Roman"/>
                <w:color w:val="auto"/>
                <w:spacing w:val="0"/>
                <w:kern w:val="2"/>
                <w:sz w:val="24"/>
                <w:szCs w:val="24"/>
              </w:rPr>
              <w:t>环境管理机构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设置1</w:t>
            </w: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名专职环保管理人员，具体落实</w:t>
            </w:r>
            <w:r>
              <w:rPr>
                <w:rFonts w:hint="default" w:ascii="Times New Roman" w:hAnsi="Times New Roman" w:eastAsia="宋体" w:cs="Times New Roman"/>
                <w:color w:val="auto"/>
                <w:spacing w:val="0"/>
                <w:kern w:val="2"/>
                <w:sz w:val="24"/>
                <w:szCs w:val="24"/>
                <w:lang w:eastAsia="zh-CN"/>
              </w:rPr>
              <w:t>医院</w:t>
            </w:r>
            <w:r>
              <w:rPr>
                <w:rFonts w:hint="default" w:ascii="Times New Roman" w:hAnsi="Times New Roman" w:eastAsia="宋体" w:cs="Times New Roman"/>
                <w:color w:val="auto"/>
                <w:spacing w:val="0"/>
                <w:kern w:val="2"/>
                <w:sz w:val="24"/>
                <w:szCs w:val="24"/>
              </w:rPr>
              <w:t>的各项环保工作。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基本职责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①负责在内部贯彻执行国家及地方政府、环境保护部门的有关法律、法规、环保标准、条例和办法等；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②进行环保宣传、环保培训及总结交流经验；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eastAsia="zh-CN"/>
              </w:rPr>
              <w:t>③</w:t>
            </w:r>
            <w:r>
              <w:rPr>
                <w:rFonts w:hint="default" w:ascii="Times New Roman" w:hAnsi="Times New Roman" w:eastAsia="宋体" w:cs="Times New Roman"/>
                <w:color w:val="auto"/>
                <w:spacing w:val="0"/>
                <w:kern w:val="2"/>
                <w:sz w:val="24"/>
                <w:szCs w:val="24"/>
              </w:rPr>
              <w:t>环保设施的运行监督管理，</w:t>
            </w:r>
            <w:r>
              <w:rPr>
                <w:rFonts w:hint="default" w:ascii="Times New Roman" w:hAnsi="Times New Roman" w:eastAsia="宋体" w:cs="Times New Roman"/>
                <w:color w:val="auto"/>
                <w:spacing w:val="0"/>
                <w:kern w:val="2"/>
                <w:sz w:val="24"/>
                <w:szCs w:val="24"/>
                <w:lang w:val="en-US" w:eastAsia="zh-CN"/>
              </w:rPr>
              <w:t>建立环保设施运行台账、污染物处置台账，</w:t>
            </w:r>
            <w:r>
              <w:rPr>
                <w:rFonts w:hint="default" w:ascii="Times New Roman" w:hAnsi="Times New Roman" w:eastAsia="宋体" w:cs="Times New Roman"/>
                <w:color w:val="auto"/>
                <w:spacing w:val="0"/>
                <w:kern w:val="2"/>
                <w:sz w:val="24"/>
                <w:szCs w:val="24"/>
              </w:rPr>
              <w:t>定期向当地环保局汇报污染治理设施运行情况和监视性监测结果。建立污染事故报告制度，当污染事故发生时，应立即向当地</w:t>
            </w:r>
            <w:r>
              <w:rPr>
                <w:rFonts w:hint="default" w:ascii="Times New Roman" w:hAnsi="Times New Roman" w:eastAsia="宋体" w:cs="Times New Roman"/>
                <w:color w:val="auto"/>
                <w:spacing w:val="0"/>
                <w:kern w:val="2"/>
                <w:sz w:val="24"/>
                <w:szCs w:val="24"/>
                <w:lang w:eastAsia="zh-CN"/>
              </w:rPr>
              <w:t>生态环境部门</w:t>
            </w:r>
            <w:r>
              <w:rPr>
                <w:rFonts w:hint="default" w:ascii="Times New Roman" w:hAnsi="Times New Roman" w:eastAsia="宋体" w:cs="Times New Roman"/>
                <w:color w:val="auto"/>
                <w:spacing w:val="0"/>
                <w:kern w:val="2"/>
                <w:sz w:val="24"/>
                <w:szCs w:val="24"/>
              </w:rPr>
              <w:t>报告，并采取相应措施。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eastAsia" w:eastAsia="宋体" w:cs="Times New Roman"/>
                <w:color w:val="auto"/>
                <w:spacing w:val="0"/>
                <w:kern w:val="2"/>
                <w:sz w:val="24"/>
                <w:szCs w:val="24"/>
                <w:lang w:eastAsia="zh-CN"/>
              </w:rPr>
              <w:t>④</w:t>
            </w:r>
            <w:r>
              <w:rPr>
                <w:rFonts w:hint="default" w:ascii="Times New Roman" w:hAnsi="Times New Roman" w:eastAsia="宋体" w:cs="Times New Roman"/>
                <w:color w:val="auto"/>
                <w:spacing w:val="0"/>
                <w:kern w:val="2"/>
                <w:sz w:val="24"/>
                <w:szCs w:val="24"/>
              </w:rPr>
              <w:t>定期对环保设施进行维护管理，确保环保设施正常运行，各污染物达标排放。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eastAsia" w:eastAsia="宋体" w:cs="Times New Roman"/>
                <w:color w:val="auto"/>
                <w:spacing w:val="0"/>
                <w:kern w:val="2"/>
                <w:sz w:val="24"/>
                <w:szCs w:val="24"/>
                <w:lang w:eastAsia="zh-CN"/>
              </w:rPr>
              <w:t>⑤</w:t>
            </w:r>
            <w:r>
              <w:rPr>
                <w:rFonts w:hint="default" w:ascii="Times New Roman" w:hAnsi="Times New Roman" w:eastAsia="宋体" w:cs="Times New Roman"/>
                <w:color w:val="auto"/>
                <w:spacing w:val="0"/>
                <w:kern w:val="2"/>
                <w:sz w:val="24"/>
                <w:szCs w:val="24"/>
              </w:rPr>
              <w:t>加强医疗废物管理的相关规定。</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二、落实按证排污责任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三、验收管理要求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根据中华人民共和国国务院令第682号《国务院关于修改&lt;建设项目环境保护管理条例&gt;的决定》于2017年6月21日修订，自2017年10月1日起施行。根据国务院关于修改《建设项目环境保护管理条例》要求，提出项目业主单位自主验收的管理要求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①</w:t>
            </w:r>
            <w:r>
              <w:rPr>
                <w:rFonts w:hint="default" w:ascii="Times New Roman" w:hAnsi="Times New Roman" w:eastAsia="宋体" w:cs="Times New Roman"/>
                <w:color w:val="auto"/>
                <w:spacing w:val="0"/>
                <w:kern w:val="2"/>
                <w:sz w:val="24"/>
                <w:szCs w:val="24"/>
                <w:lang w:val="en-US" w:eastAsia="zh-CN"/>
              </w:rPr>
              <w:t>环境保护行政主管部门应当对本项目环境保护设施设计、施工、验收、投入使用情况，以及有关环境影响评价文件确定的其他环境保护措施的落实情况，进行监督检查。</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②</w:t>
            </w:r>
            <w:r>
              <w:rPr>
                <w:rFonts w:hint="default" w:ascii="Times New Roman" w:hAnsi="Times New Roman" w:eastAsia="宋体" w:cs="Times New Roman"/>
                <w:color w:val="auto"/>
                <w:spacing w:val="0"/>
                <w:kern w:val="2"/>
                <w:sz w:val="24"/>
                <w:szCs w:val="24"/>
                <w:lang w:val="en-US" w:eastAsia="zh-CN"/>
              </w:rPr>
              <w:t>本项目建设竣工后，业主应当按照国务院环境保护行政主管部门规定的标准和程序，对配套建设的环境保护设施进行验收，编制验收报告。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③</w:t>
            </w:r>
            <w:r>
              <w:rPr>
                <w:rFonts w:hint="default" w:ascii="Times New Roman" w:hAnsi="Times New Roman" w:eastAsia="宋体" w:cs="Times New Roman"/>
                <w:color w:val="auto"/>
                <w:spacing w:val="0"/>
                <w:kern w:val="2"/>
                <w:sz w:val="24"/>
                <w:szCs w:val="24"/>
                <w:lang w:val="en-US" w:eastAsia="zh-CN"/>
              </w:rPr>
              <w:t>建设单位应该对施工期环保设施、措施进行记录或拍照，在环境保护设施验收过程中，应当如实查验、监测、记载建设项目环境保护设施的建设和调试情况，不得弄虚作假。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④</w:t>
            </w:r>
            <w:r>
              <w:rPr>
                <w:rFonts w:hint="default" w:ascii="Times New Roman" w:hAnsi="Times New Roman" w:eastAsia="宋体" w:cs="Times New Roman"/>
                <w:color w:val="auto"/>
                <w:spacing w:val="0"/>
                <w:kern w:val="2"/>
                <w:sz w:val="24"/>
                <w:szCs w:val="24"/>
                <w:lang w:val="en-US" w:eastAsia="zh-CN"/>
              </w:rPr>
              <w:t>若本项目有分期建设或分期投入生产或者使用的建设项目，其相应的环境保护设施应当分期验收。</w:t>
            </w:r>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⑤本项目建设的环境保护设施经验收合格后，方可投入生产或者使用；未经验收或者验收不合格的，不得投入生产或者使用。</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四、实行自行监测和定期报告制度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113" w:name="_Toc341946650"/>
      <w:bookmarkStart w:id="114" w:name="_Toc376855819"/>
      <w:bookmarkStart w:id="115" w:name="_Toc458883644"/>
      <w:bookmarkStart w:id="116" w:name="_Toc68101070"/>
      <w:bookmarkStart w:id="117" w:name="_Toc10838"/>
      <w:r>
        <w:rPr>
          <w:rFonts w:hint="eastAsia"/>
          <w:color w:val="auto"/>
        </w:rPr>
        <w:t>六、</w:t>
      </w:r>
      <w:bookmarkEnd w:id="113"/>
      <w:bookmarkEnd w:id="114"/>
      <w:bookmarkEnd w:id="115"/>
      <w:r>
        <w:rPr>
          <w:rFonts w:hint="eastAsia"/>
          <w:color w:val="auto"/>
        </w:rPr>
        <w:t>结论</w:t>
      </w:r>
      <w:bookmarkEnd w:id="116"/>
      <w:bookmarkEnd w:id="117"/>
    </w:p>
    <w:tbl>
      <w:tblPr>
        <w:tblStyle w:val="37"/>
        <w:tblW w:w="94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2069" w:hRule="atLeast"/>
          <w:jc w:val="center"/>
        </w:trPr>
        <w:tc>
          <w:tcPr>
            <w:tcW w:w="9470" w:type="dxa"/>
          </w:tcPr>
          <w:p>
            <w:pPr>
              <w:ind w:firstLine="480"/>
              <w:rPr>
                <w:color w:val="auto"/>
              </w:rPr>
            </w:pPr>
            <w:r>
              <w:rPr>
                <w:color w:val="auto"/>
              </w:rPr>
              <w:t>本项目</w:t>
            </w:r>
            <w:r>
              <w:rPr>
                <w:rFonts w:hint="eastAsia"/>
                <w:color w:val="auto"/>
              </w:rPr>
              <w:t>为乡镇</w:t>
            </w:r>
            <w:r>
              <w:rPr>
                <w:rFonts w:hint="eastAsia"/>
                <w:color w:val="auto"/>
                <w:lang w:eastAsia="zh-CN"/>
              </w:rPr>
              <w:t>姚安县保健院妇婴医院住院综合楼建设项目</w:t>
            </w:r>
            <w:r>
              <w:rPr>
                <w:rFonts w:hint="eastAsia"/>
                <w:color w:val="auto"/>
              </w:rPr>
              <w:t>，建设用地性质为医疗卫生用地</w:t>
            </w:r>
            <w:r>
              <w:rPr>
                <w:color w:val="auto"/>
              </w:rPr>
              <w:t>，</w:t>
            </w:r>
            <w:r>
              <w:rPr>
                <w:rFonts w:hint="eastAsia"/>
                <w:color w:val="auto"/>
              </w:rPr>
              <w:t>即项目符合当地规划，</w:t>
            </w:r>
            <w:r>
              <w:rPr>
                <w:color w:val="auto"/>
              </w:rPr>
              <w:t>符合国家产业政策，</w:t>
            </w:r>
            <w:r>
              <w:rPr>
                <w:rFonts w:hint="eastAsia"/>
                <w:color w:val="auto"/>
              </w:rPr>
              <w:t>符合“三线一单”管理及相关环保规划要求</w:t>
            </w:r>
            <w:r>
              <w:rPr>
                <w:color w:val="auto"/>
              </w:rPr>
              <w:t>；</w:t>
            </w:r>
            <w:r>
              <w:rPr>
                <w:rFonts w:hint="eastAsia"/>
                <w:color w:val="auto"/>
              </w:rPr>
              <w:t>项目在落实本报告提出的各项污染治理措施，并加强环境管理和风险防范，保证各项污染物达标排放后，项目对周围环境影响较小</w:t>
            </w:r>
            <w:r>
              <w:rPr>
                <w:color w:val="auto"/>
              </w:rPr>
              <w:t>，不</w:t>
            </w:r>
            <w:r>
              <w:rPr>
                <w:rFonts w:hint="eastAsia"/>
                <w:color w:val="auto"/>
              </w:rPr>
              <w:t>会</w:t>
            </w:r>
            <w:r>
              <w:rPr>
                <w:color w:val="auto"/>
              </w:rPr>
              <w:t>改变所在区域的环境功能，对环境保护目标不会产生显著影响。</w:t>
            </w:r>
          </w:p>
          <w:p>
            <w:pPr>
              <w:ind w:firstLine="480"/>
              <w:rPr>
                <w:color w:val="auto"/>
              </w:rPr>
            </w:pPr>
            <w:r>
              <w:rPr>
                <w:rFonts w:hint="eastAsia"/>
                <w:color w:val="auto"/>
              </w:rPr>
              <w:t>从环境保护角度考虑，本项目的建设是合理、可行的。</w:t>
            </w:r>
          </w:p>
          <w:p>
            <w:pPr>
              <w:autoSpaceDE w:val="0"/>
              <w:autoSpaceDN w:val="0"/>
              <w:adjustRightInd w:val="0"/>
              <w:spacing w:line="240" w:lineRule="auto"/>
              <w:ind w:firstLine="0" w:firstLineChars="0"/>
              <w:jc w:val="left"/>
              <w:rPr>
                <w:color w:val="auto"/>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ind w:left="0" w:leftChars="0" w:firstLine="0" w:firstLineChars="0"/>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tc>
      </w:tr>
    </w:tbl>
    <w:p>
      <w:pPr>
        <w:autoSpaceDE w:val="0"/>
        <w:autoSpaceDN w:val="0"/>
        <w:snapToGrid w:val="0"/>
        <w:spacing w:line="240" w:lineRule="auto"/>
        <w:ind w:firstLine="480"/>
        <w:jc w:val="left"/>
        <w:rPr>
          <w:rFonts w:ascii="黑体" w:hAnsi="黑体" w:eastAsia="黑体"/>
          <w:snapToGrid w:val="0"/>
          <w:color w:val="auto"/>
          <w:sz w:val="32"/>
          <w:szCs w:val="32"/>
        </w:rPr>
        <w:sectPr>
          <w:footerReference r:id="rId16" w:type="default"/>
          <w:pgSz w:w="11906" w:h="16838"/>
          <w:pgMar w:top="1440" w:right="1247" w:bottom="1440" w:left="1247" w:header="851" w:footer="835" w:gutter="0"/>
          <w:pgBorders>
            <w:top w:val="none" w:sz="0" w:space="0"/>
            <w:left w:val="none" w:sz="0" w:space="0"/>
            <w:bottom w:val="none" w:sz="0" w:space="0"/>
            <w:right w:val="none" w:sz="0" w:space="0"/>
          </w:pgBorders>
          <w:pgNumType w:fmt="decimal"/>
          <w:cols w:space="425" w:num="1"/>
          <w:docGrid w:type="linesAndChars" w:linePitch="326" w:charSpace="0"/>
        </w:sectPr>
      </w:pPr>
      <w:r>
        <w:rPr>
          <w:color w:val="auto"/>
          <w:szCs w:val="20"/>
        </w:rPr>
        <w:br w:type="page"/>
      </w:r>
    </w:p>
    <w:p>
      <w:pPr>
        <w:ind w:firstLine="562"/>
        <w:outlineLvl w:val="0"/>
        <w:rPr>
          <w:b/>
          <w:snapToGrid w:val="0"/>
          <w:color w:val="auto"/>
          <w:sz w:val="28"/>
          <w:szCs w:val="28"/>
        </w:rPr>
      </w:pPr>
      <w:bookmarkStart w:id="118" w:name="_Toc12276"/>
      <w:bookmarkStart w:id="119" w:name="_Toc28769"/>
      <w:bookmarkStart w:id="120" w:name="_Toc10739"/>
      <w:r>
        <w:rPr>
          <w:rFonts w:hint="eastAsia"/>
          <w:b/>
          <w:snapToGrid w:val="0"/>
          <w:color w:val="auto"/>
          <w:sz w:val="28"/>
          <w:szCs w:val="28"/>
        </w:rPr>
        <w:t>附表</w:t>
      </w:r>
      <w:bookmarkEnd w:id="118"/>
      <w:bookmarkEnd w:id="119"/>
      <w:bookmarkEnd w:id="120"/>
    </w:p>
    <w:p>
      <w:pPr>
        <w:pStyle w:val="32"/>
        <w:adjustRightInd w:val="0"/>
        <w:snapToGrid w:val="0"/>
        <w:spacing w:before="0" w:beforeAutospacing="0" w:after="0" w:afterAutospacing="0" w:line="552" w:lineRule="auto"/>
        <w:ind w:left="480" w:firstLine="760"/>
        <w:jc w:val="center"/>
        <w:outlineLvl w:val="0"/>
        <w:rPr>
          <w:rFonts w:ascii="方正小标宋_GBK" w:hAnsi="黑体" w:eastAsia="方正小标宋_GBK"/>
          <w:snapToGrid w:val="0"/>
          <w:color w:val="auto"/>
          <w:sz w:val="38"/>
          <w:szCs w:val="38"/>
        </w:rPr>
      </w:pPr>
      <w:bookmarkStart w:id="121" w:name="_Toc10979"/>
      <w:bookmarkStart w:id="122" w:name="_Toc18397"/>
      <w:bookmarkStart w:id="123" w:name="_Toc3638"/>
      <w:r>
        <w:rPr>
          <w:rFonts w:hint="eastAsia" w:ascii="方正小标宋_GBK" w:hAnsi="黑体" w:eastAsia="方正小标宋_GBK"/>
          <w:snapToGrid w:val="0"/>
          <w:color w:val="auto"/>
          <w:sz w:val="38"/>
          <w:szCs w:val="38"/>
        </w:rPr>
        <w:t>建设项目污染物排放量汇总表</w:t>
      </w:r>
      <w:bookmarkEnd w:id="121"/>
      <w:bookmarkEnd w:id="122"/>
      <w:bookmarkEnd w:id="123"/>
    </w:p>
    <w:tbl>
      <w:tblPr>
        <w:tblStyle w:val="37"/>
        <w:tblW w:w="1389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02"/>
        <w:gridCol w:w="9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78"/>
              <w:spacing w:line="240" w:lineRule="auto"/>
              <w:ind w:firstLine="0" w:firstLineChars="0"/>
              <w:jc w:val="right"/>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项目</w:t>
            </w:r>
          </w:p>
          <w:p>
            <w:pPr>
              <w:pStyle w:val="78"/>
              <w:spacing w:line="240" w:lineRule="auto"/>
              <w:ind w:firstLine="0" w:firstLineChars="0"/>
              <w:jc w:val="left"/>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分类</w:t>
            </w:r>
          </w:p>
        </w:tc>
        <w:tc>
          <w:tcPr>
            <w:tcW w:w="1417" w:type="dxa"/>
            <w:tcMar>
              <w:left w:w="28" w:type="dxa"/>
              <w:right w:w="28" w:type="dxa"/>
            </w:tcMar>
            <w:vAlign w:val="center"/>
          </w:tcPr>
          <w:p>
            <w:pPr>
              <w:pStyle w:val="78"/>
              <w:spacing w:line="240" w:lineRule="auto"/>
              <w:ind w:firstLine="0" w:firstLineChars="0"/>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污染物名称</w:t>
            </w:r>
          </w:p>
        </w:tc>
        <w:tc>
          <w:tcPr>
            <w:tcW w:w="170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现有工程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1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①</w:t>
            </w:r>
            <w:r>
              <w:rPr>
                <w:rFonts w:ascii="黑体" w:hAnsi="黑体" w:eastAsia="黑体"/>
                <w:snapToGrid w:val="0"/>
                <w:color w:val="auto"/>
                <w:spacing w:val="-6"/>
                <w:kern w:val="21"/>
                <w:szCs w:val="24"/>
              </w:rPr>
              <w:fldChar w:fldCharType="end"/>
            </w:r>
          </w:p>
        </w:tc>
        <w:tc>
          <w:tcPr>
            <w:tcW w:w="1276"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现有工程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许可排放量</w:t>
            </w:r>
          </w:p>
          <w:p>
            <w:pPr>
              <w:pStyle w:val="78"/>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2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snapToGrid w:val="0"/>
                <w:color w:val="auto"/>
                <w:spacing w:val="-6"/>
                <w:kern w:val="21"/>
                <w:szCs w:val="24"/>
              </w:rPr>
              <w:t>②</w:t>
            </w:r>
            <w:r>
              <w:rPr>
                <w:rFonts w:ascii="黑体" w:hAnsi="黑体" w:eastAsia="黑体"/>
                <w:snapToGrid w:val="0"/>
                <w:color w:val="auto"/>
                <w:spacing w:val="-6"/>
                <w:kern w:val="21"/>
                <w:szCs w:val="24"/>
              </w:rPr>
              <w:fldChar w:fldCharType="end"/>
            </w:r>
          </w:p>
        </w:tc>
        <w:tc>
          <w:tcPr>
            <w:tcW w:w="170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在建工程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3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③</w:t>
            </w:r>
            <w:r>
              <w:rPr>
                <w:rFonts w:ascii="黑体" w:hAnsi="黑体" w:eastAsia="黑体"/>
                <w:snapToGrid w:val="0"/>
                <w:color w:val="auto"/>
                <w:spacing w:val="-6"/>
                <w:kern w:val="21"/>
                <w:szCs w:val="24"/>
              </w:rPr>
              <w:fldChar w:fldCharType="end"/>
            </w:r>
          </w:p>
        </w:tc>
        <w:tc>
          <w:tcPr>
            <w:tcW w:w="1559"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本项目</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4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④</w:t>
            </w:r>
            <w:r>
              <w:rPr>
                <w:rFonts w:ascii="黑体" w:hAnsi="黑体" w:eastAsia="黑体"/>
                <w:snapToGrid w:val="0"/>
                <w:color w:val="auto"/>
                <w:spacing w:val="-6"/>
                <w:kern w:val="21"/>
                <w:szCs w:val="24"/>
              </w:rPr>
              <w:fldChar w:fldCharType="end"/>
            </w:r>
          </w:p>
        </w:tc>
        <w:tc>
          <w:tcPr>
            <w:tcW w:w="176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以新带老削减量</w:t>
            </w:r>
          </w:p>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（新建项目不填）</w:t>
            </w:r>
            <w:r>
              <w:rPr>
                <w:rFonts w:ascii="黑体" w:hAnsi="黑体" w:eastAsia="黑体"/>
                <w:snapToGrid w:val="0"/>
                <w:color w:val="auto"/>
                <w:spacing w:val="-16"/>
                <w:kern w:val="21"/>
                <w:szCs w:val="24"/>
              </w:rPr>
              <w:fldChar w:fldCharType="begin"/>
            </w:r>
            <w:r>
              <w:rPr>
                <w:rFonts w:ascii="黑体" w:hAnsi="黑体" w:eastAsia="黑体"/>
                <w:snapToGrid w:val="0"/>
                <w:color w:val="auto"/>
                <w:spacing w:val="-16"/>
                <w:kern w:val="21"/>
                <w:szCs w:val="24"/>
              </w:rPr>
              <w:instrText xml:space="preserve"> = 5 \* GB3 \* MERGEFORMAT </w:instrText>
            </w:r>
            <w:r>
              <w:rPr>
                <w:rFonts w:ascii="黑体" w:hAnsi="黑体" w:eastAsia="黑体"/>
                <w:snapToGrid w:val="0"/>
                <w:color w:val="auto"/>
                <w:spacing w:val="-16"/>
                <w:kern w:val="21"/>
                <w:szCs w:val="24"/>
              </w:rPr>
              <w:fldChar w:fldCharType="separate"/>
            </w:r>
            <w:r>
              <w:rPr>
                <w:rFonts w:hint="eastAsia" w:ascii="黑体" w:hAnsi="黑体" w:eastAsia="黑体" w:cs="宋体"/>
                <w:color w:val="auto"/>
                <w:szCs w:val="24"/>
              </w:rPr>
              <w:t>⑤</w:t>
            </w:r>
            <w:r>
              <w:rPr>
                <w:rFonts w:ascii="黑体" w:hAnsi="黑体" w:eastAsia="黑体"/>
                <w:snapToGrid w:val="0"/>
                <w:color w:val="auto"/>
                <w:spacing w:val="-16"/>
                <w:kern w:val="21"/>
                <w:szCs w:val="24"/>
              </w:rPr>
              <w:fldChar w:fldCharType="end"/>
            </w:r>
          </w:p>
        </w:tc>
        <w:tc>
          <w:tcPr>
            <w:tcW w:w="1902"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本项目建成后</w:t>
            </w:r>
          </w:p>
          <w:p>
            <w:pPr>
              <w:pStyle w:val="78"/>
              <w:spacing w:line="240" w:lineRule="auto"/>
              <w:ind w:firstLine="0" w:firstLineChars="0"/>
              <w:rPr>
                <w:rFonts w:ascii="黑体" w:hAnsi="黑体" w:eastAsia="黑体"/>
                <w:snapToGrid w:val="0"/>
                <w:color w:val="auto"/>
                <w:spacing w:val="-16"/>
                <w:kern w:val="21"/>
                <w:szCs w:val="24"/>
              </w:rPr>
            </w:pPr>
            <w:r>
              <w:rPr>
                <w:rFonts w:hint="eastAsia" w:ascii="黑体" w:hAnsi="黑体" w:eastAsia="黑体"/>
                <w:snapToGrid w:val="0"/>
                <w:color w:val="auto"/>
                <w:spacing w:val="-16"/>
                <w:kern w:val="21"/>
                <w:szCs w:val="24"/>
              </w:rPr>
              <w:t>全厂</w:t>
            </w:r>
            <w:r>
              <w:rPr>
                <w:rFonts w:ascii="黑体" w:hAnsi="黑体" w:eastAsia="黑体"/>
                <w:snapToGrid w:val="0"/>
                <w:color w:val="auto"/>
                <w:spacing w:val="-16"/>
                <w:kern w:val="21"/>
                <w:szCs w:val="24"/>
              </w:rPr>
              <w:t>排放量（固</w:t>
            </w:r>
            <w:r>
              <w:rPr>
                <w:rFonts w:hint="eastAsia" w:ascii="黑体" w:hAnsi="黑体" w:eastAsia="黑体"/>
                <w:snapToGrid w:val="0"/>
                <w:color w:val="auto"/>
                <w:spacing w:val="-16"/>
                <w:kern w:val="21"/>
                <w:szCs w:val="24"/>
              </w:rPr>
              <w:t>体</w:t>
            </w:r>
            <w:r>
              <w:rPr>
                <w:rFonts w:ascii="黑体" w:hAnsi="黑体" w:eastAsia="黑体"/>
                <w:snapToGrid w:val="0"/>
                <w:color w:val="auto"/>
                <w:spacing w:val="-16"/>
                <w:kern w:val="21"/>
                <w:szCs w:val="24"/>
              </w:rPr>
              <w:t>废</w:t>
            </w:r>
            <w:r>
              <w:rPr>
                <w:rFonts w:hint="eastAsia" w:ascii="黑体" w:hAnsi="黑体" w:eastAsia="黑体"/>
                <w:snapToGrid w:val="0"/>
                <w:color w:val="auto"/>
                <w:spacing w:val="-16"/>
                <w:kern w:val="21"/>
                <w:szCs w:val="24"/>
              </w:rPr>
              <w:t>物</w:t>
            </w:r>
            <w:r>
              <w:rPr>
                <w:rFonts w:ascii="黑体" w:hAnsi="黑体" w:eastAsia="黑体"/>
                <w:snapToGrid w:val="0"/>
                <w:color w:val="auto"/>
                <w:spacing w:val="-16"/>
                <w:kern w:val="21"/>
                <w:szCs w:val="24"/>
              </w:rPr>
              <w:t>产生量）</w:t>
            </w:r>
            <w:r>
              <w:rPr>
                <w:rFonts w:ascii="黑体" w:hAnsi="黑体" w:eastAsia="黑体"/>
                <w:snapToGrid w:val="0"/>
                <w:color w:val="auto"/>
                <w:spacing w:val="-16"/>
                <w:kern w:val="21"/>
                <w:szCs w:val="24"/>
              </w:rPr>
              <w:fldChar w:fldCharType="begin"/>
            </w:r>
            <w:r>
              <w:rPr>
                <w:rFonts w:ascii="黑体" w:hAnsi="黑体" w:eastAsia="黑体"/>
                <w:snapToGrid w:val="0"/>
                <w:color w:val="auto"/>
                <w:spacing w:val="-16"/>
                <w:kern w:val="21"/>
                <w:szCs w:val="24"/>
              </w:rPr>
              <w:instrText xml:space="preserve"> = 6 \* GB3 \* MERGEFORMAT </w:instrText>
            </w:r>
            <w:r>
              <w:rPr>
                <w:rFonts w:ascii="黑体" w:hAnsi="黑体" w:eastAsia="黑体"/>
                <w:snapToGrid w:val="0"/>
                <w:color w:val="auto"/>
                <w:spacing w:val="-16"/>
                <w:kern w:val="21"/>
                <w:szCs w:val="24"/>
              </w:rPr>
              <w:fldChar w:fldCharType="separate"/>
            </w:r>
            <w:r>
              <w:rPr>
                <w:rFonts w:hint="eastAsia" w:ascii="黑体" w:hAnsi="黑体" w:eastAsia="黑体" w:cs="宋体"/>
                <w:color w:val="auto"/>
                <w:szCs w:val="24"/>
              </w:rPr>
              <w:t>⑥</w:t>
            </w:r>
            <w:r>
              <w:rPr>
                <w:rFonts w:ascii="黑体" w:hAnsi="黑体" w:eastAsia="黑体"/>
                <w:snapToGrid w:val="0"/>
                <w:color w:val="auto"/>
                <w:spacing w:val="-16"/>
                <w:kern w:val="21"/>
                <w:szCs w:val="24"/>
              </w:rPr>
              <w:fldChar w:fldCharType="end"/>
            </w:r>
          </w:p>
        </w:tc>
        <w:tc>
          <w:tcPr>
            <w:tcW w:w="986"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变化量</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7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⑦</w:t>
            </w:r>
            <w:r>
              <w:rPr>
                <w:rFonts w:ascii="黑体" w:hAnsi="黑体" w:eastAsia="黑体"/>
                <w:snapToGrid w:val="0"/>
                <w:color w:val="auto"/>
                <w:spacing w:val="-6"/>
                <w:kern w:val="21"/>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废气</w:t>
            </w: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异味</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废水</w:t>
            </w: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COD</w:t>
            </w:r>
            <w:r>
              <w:rPr>
                <w:rFonts w:eastAsia="宋体" w:cs="Times New Roman"/>
                <w:color w:val="auto"/>
                <w:szCs w:val="24"/>
                <w:vertAlign w:val="subscript"/>
              </w:rPr>
              <w:t>cr</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default" w:hAnsi="宋体" w:cs="宋体" w:eastAsiaTheme="minorEastAsia"/>
                <w:snapToGrid w:val="0"/>
                <w:color w:val="auto"/>
                <w:kern w:val="21"/>
                <w:szCs w:val="24"/>
                <w:lang w:val="en-US" w:eastAsia="zh-CN"/>
              </w:rPr>
              <w:t>1.06</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default" w:hAnsi="宋体" w:cs="宋体" w:eastAsiaTheme="minorEastAsia"/>
                <w:snapToGrid w:val="0"/>
                <w:color w:val="auto"/>
                <w:kern w:val="21"/>
                <w:szCs w:val="24"/>
                <w:lang w:val="en-US" w:eastAsia="zh-CN"/>
              </w:rPr>
            </w:pPr>
            <w:r>
              <w:rPr>
                <w:rFonts w:hint="default" w:hAnsi="宋体"/>
                <w:snapToGrid w:val="0"/>
                <w:color w:val="auto"/>
                <w:kern w:val="21"/>
                <w:sz w:val="24"/>
              </w:rPr>
              <w:t>1.06</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hAnsi="宋体"/>
                <w:snapToGrid w:val="0"/>
                <w:color w:val="auto"/>
                <w:kern w:val="21"/>
                <w:sz w:val="24"/>
                <w:lang w:val="en-US" w:eastAsia="zh-CN"/>
              </w:rPr>
              <w:t>+</w:t>
            </w:r>
            <w:r>
              <w:rPr>
                <w:rFonts w:hint="default" w:hAnsi="宋体"/>
                <w:snapToGrid w:val="0"/>
                <w:color w:val="auto"/>
                <w:kern w:val="21"/>
                <w:sz w:val="24"/>
              </w:rPr>
              <w:t>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BOD</w:t>
            </w:r>
            <w:r>
              <w:rPr>
                <w:rFonts w:eastAsia="宋体" w:cs="Times New Roman"/>
                <w:color w:val="auto"/>
                <w:szCs w:val="24"/>
                <w:vertAlign w:val="subscript"/>
              </w:rPr>
              <w:t>5</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eastAsia" w:hAnsi="宋体" w:cs="宋体" w:eastAsiaTheme="minorEastAsia"/>
                <w:snapToGrid w:val="0"/>
                <w:color w:val="auto"/>
                <w:kern w:val="21"/>
                <w:szCs w:val="24"/>
                <w:lang w:eastAsia="zh-CN"/>
              </w:rPr>
            </w:pPr>
            <w:r>
              <w:rPr>
                <w:rFonts w:hint="eastAsia" w:cs="Times New Roman"/>
                <w:color w:val="auto"/>
                <w:kern w:val="0"/>
                <w:szCs w:val="24"/>
                <w:lang w:val="en-US" w:eastAsia="zh-CN"/>
              </w:rPr>
              <w:t xml:space="preserve">0.35 </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 xml:space="preserve">0.35 </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 xml:space="preserve">0.35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SS</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eastAsia" w:cs="Times New Roman"/>
                <w:color w:val="auto"/>
                <w:kern w:val="0"/>
                <w:szCs w:val="24"/>
                <w:lang w:val="en-US" w:eastAsia="zh-CN"/>
              </w:rPr>
              <w:t>0.35</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0.35</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氨氮</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eastAsia" w:cs="Times New Roman"/>
                <w:color w:val="auto"/>
                <w:kern w:val="0"/>
                <w:szCs w:val="24"/>
                <w:lang w:val="en-US" w:eastAsia="zh-CN"/>
              </w:rPr>
              <w:t>0.26</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0.26</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一般工业</w:t>
            </w:r>
          </w:p>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固体废物</w:t>
            </w:r>
          </w:p>
        </w:tc>
        <w:tc>
          <w:tcPr>
            <w:tcW w:w="1417"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污泥</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35.5</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b/>
                <w:bCs w:val="0"/>
                <w:snapToGrid w:val="0"/>
                <w:color w:val="auto"/>
                <w:kern w:val="21"/>
                <w:szCs w:val="24"/>
              </w:rPr>
            </w:pPr>
            <w:r>
              <w:rPr>
                <w:rFonts w:hint="eastAsia" w:hAnsi="宋体" w:cs="宋体"/>
                <w:snapToGrid w:val="0"/>
                <w:color w:val="auto"/>
                <w:kern w:val="21"/>
                <w:szCs w:val="24"/>
              </w:rPr>
              <w:t>35.5</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lang w:val="en-US" w:eastAsia="zh-CN"/>
              </w:rPr>
              <w:t>+</w:t>
            </w:r>
            <w:r>
              <w:rPr>
                <w:rFonts w:hint="eastAsia" w:hAnsi="宋体" w:cs="宋体"/>
                <w:snapToGrid w:val="0"/>
                <w:color w:val="auto"/>
                <w:kern w:val="21"/>
                <w:szCs w:val="24"/>
              </w:rPr>
              <w:t>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危险废物</w:t>
            </w:r>
          </w:p>
        </w:tc>
        <w:tc>
          <w:tcPr>
            <w:tcW w:w="1417" w:type="dxa"/>
            <w:vAlign w:val="center"/>
          </w:tcPr>
          <w:p>
            <w:pPr>
              <w:pStyle w:val="78"/>
              <w:spacing w:line="240" w:lineRule="auto"/>
              <w:ind w:firstLine="0" w:firstLineChars="0"/>
              <w:rPr>
                <w:rFonts w:hAnsi="宋体" w:eastAsia="宋体" w:cs="宋体"/>
                <w:snapToGrid w:val="0"/>
                <w:color w:val="auto"/>
                <w:kern w:val="21"/>
                <w:szCs w:val="24"/>
              </w:rPr>
            </w:pPr>
            <w:r>
              <w:rPr>
                <w:rFonts w:hint="eastAsia" w:hAnsi="宋体" w:cs="宋体"/>
                <w:snapToGrid w:val="0"/>
                <w:color w:val="auto"/>
                <w:kern w:val="21"/>
                <w:szCs w:val="24"/>
              </w:rPr>
              <w:t>医疗废物</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50.34</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50.34</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lang w:val="en-US" w:eastAsia="zh-CN"/>
              </w:rPr>
              <w:t>+</w:t>
            </w:r>
            <w:r>
              <w:rPr>
                <w:rFonts w:hint="eastAsia" w:hAnsi="宋体" w:cs="宋体"/>
                <w:snapToGrid w:val="0"/>
                <w:color w:val="auto"/>
                <w:kern w:val="21"/>
                <w:szCs w:val="24"/>
              </w:rPr>
              <w:t>50.34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int="eastAsia" w:hAnsi="宋体" w:cs="宋体"/>
                <w:snapToGrid w:val="0"/>
                <w:color w:val="auto"/>
                <w:kern w:val="21"/>
                <w:szCs w:val="24"/>
              </w:rPr>
            </w:pPr>
          </w:p>
        </w:tc>
        <w:tc>
          <w:tcPr>
            <w:tcW w:w="1417" w:type="dxa"/>
            <w:vAlign w:val="center"/>
          </w:tcPr>
          <w:p>
            <w:pPr>
              <w:pStyle w:val="78"/>
              <w:spacing w:line="240" w:lineRule="auto"/>
              <w:ind w:firstLine="0" w:firstLineChars="0"/>
              <w:rPr>
                <w:rFonts w:hint="default" w:hAnsi="宋体" w:cs="宋体" w:eastAsiaTheme="minorEastAsia"/>
                <w:snapToGrid w:val="0"/>
                <w:color w:val="auto"/>
                <w:kern w:val="21"/>
                <w:szCs w:val="24"/>
                <w:lang w:val="en-US" w:eastAsia="zh-CN"/>
              </w:rPr>
            </w:pPr>
            <w:r>
              <w:rPr>
                <w:rFonts w:hint="eastAsia" w:hAnsi="宋体" w:cs="宋体"/>
                <w:snapToGrid w:val="0"/>
                <w:color w:val="auto"/>
                <w:kern w:val="21"/>
                <w:szCs w:val="24"/>
                <w:lang w:val="en-US" w:eastAsia="zh-CN"/>
              </w:rPr>
              <w:t>/</w:t>
            </w:r>
          </w:p>
        </w:tc>
        <w:tc>
          <w:tcPr>
            <w:tcW w:w="170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int="default"/>
                <w:color w:val="auto"/>
                <w:lang w:val="en-US" w:eastAsia="zh-CN"/>
              </w:rPr>
            </w:pPr>
            <w:r>
              <w:rPr>
                <w:rFonts w:hint="eastAsia"/>
                <w:color w:val="auto"/>
                <w:lang w:val="en-US" w:eastAsia="zh-CN"/>
              </w:rPr>
              <w:t>/</w:t>
            </w:r>
          </w:p>
        </w:tc>
        <w:tc>
          <w:tcPr>
            <w:tcW w:w="176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color w:val="auto"/>
                <w:lang w:val="en-US" w:eastAsia="zh-CN"/>
              </w:rPr>
              <w:t>/</w:t>
            </w:r>
          </w:p>
        </w:tc>
        <w:tc>
          <w:tcPr>
            <w:tcW w:w="986"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bl>
    <w:p>
      <w:pPr>
        <w:ind w:firstLine="360"/>
        <w:outlineLvl w:val="0"/>
        <w:rPr>
          <w:snapToGrid w:val="0"/>
          <w:color w:val="auto"/>
          <w:sz w:val="18"/>
          <w:szCs w:val="18"/>
        </w:rPr>
      </w:pPr>
      <w:bookmarkStart w:id="124" w:name="_Toc6424"/>
      <w:bookmarkStart w:id="125" w:name="_Toc6997"/>
      <w:bookmarkStart w:id="126" w:name="_Toc8333"/>
      <w:r>
        <w:rPr>
          <w:snapToGrid w:val="0"/>
          <w:color w:val="auto"/>
          <w:sz w:val="18"/>
          <w:szCs w:val="18"/>
        </w:rPr>
        <w:t>注：</w:t>
      </w:r>
      <w:r>
        <w:rPr>
          <w:snapToGrid w:val="0"/>
          <w:color w:val="auto"/>
          <w:spacing w:val="-16"/>
          <w:sz w:val="18"/>
          <w:szCs w:val="18"/>
        </w:rPr>
        <w:fldChar w:fldCharType="begin"/>
      </w:r>
      <w:r>
        <w:rPr>
          <w:snapToGrid w:val="0"/>
          <w:color w:val="auto"/>
          <w:spacing w:val="-16"/>
          <w:sz w:val="18"/>
          <w:szCs w:val="18"/>
        </w:rPr>
        <w:instrText xml:space="preserve"> = 6 \* GB3 \* MERGEFORMAT </w:instrText>
      </w:r>
      <w:r>
        <w:rPr>
          <w:snapToGrid w:val="0"/>
          <w:color w:val="auto"/>
          <w:spacing w:val="-16"/>
          <w:sz w:val="18"/>
          <w:szCs w:val="18"/>
        </w:rPr>
        <w:fldChar w:fldCharType="separate"/>
      </w:r>
      <w:r>
        <w:rPr>
          <w:rFonts w:hint="eastAsia"/>
          <w:color w:val="auto"/>
          <w:sz w:val="18"/>
          <w:szCs w:val="18"/>
        </w:rPr>
        <w:t>⑥</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1 \* GB3 \* MERGEFORMAT </w:instrText>
      </w:r>
      <w:r>
        <w:rPr>
          <w:snapToGrid w:val="0"/>
          <w:color w:val="auto"/>
          <w:sz w:val="18"/>
          <w:szCs w:val="18"/>
        </w:rPr>
        <w:fldChar w:fldCharType="separate"/>
      </w:r>
      <w:r>
        <w:rPr>
          <w:rFonts w:hint="eastAsia"/>
          <w:color w:val="auto"/>
          <w:sz w:val="18"/>
          <w:szCs w:val="18"/>
        </w:rPr>
        <w:t>①</w:t>
      </w:r>
      <w:r>
        <w:rPr>
          <w:snapToGrid w:val="0"/>
          <w:color w:val="auto"/>
          <w:sz w:val="18"/>
          <w:szCs w:val="18"/>
        </w:rPr>
        <w:fldChar w:fldCharType="end"/>
      </w:r>
      <w:r>
        <w:rPr>
          <w:snapToGrid w:val="0"/>
          <w:color w:val="auto"/>
          <w:sz w:val="18"/>
          <w:szCs w:val="18"/>
        </w:rPr>
        <w:t>+</w:t>
      </w:r>
      <w:r>
        <w:rPr>
          <w:snapToGrid w:val="0"/>
          <w:color w:val="auto"/>
          <w:sz w:val="18"/>
          <w:szCs w:val="18"/>
        </w:rPr>
        <w:fldChar w:fldCharType="begin"/>
      </w:r>
      <w:r>
        <w:rPr>
          <w:snapToGrid w:val="0"/>
          <w:color w:val="auto"/>
          <w:sz w:val="18"/>
          <w:szCs w:val="18"/>
        </w:rPr>
        <w:instrText xml:space="preserve"> = 3 \* GB3 \* MERGEFORMAT </w:instrText>
      </w:r>
      <w:r>
        <w:rPr>
          <w:snapToGrid w:val="0"/>
          <w:color w:val="auto"/>
          <w:sz w:val="18"/>
          <w:szCs w:val="18"/>
        </w:rPr>
        <w:fldChar w:fldCharType="separate"/>
      </w:r>
      <w:r>
        <w:rPr>
          <w:rFonts w:hint="eastAsia"/>
          <w:color w:val="auto"/>
          <w:sz w:val="18"/>
          <w:szCs w:val="18"/>
        </w:rPr>
        <w:t>③</w:t>
      </w:r>
      <w:r>
        <w:rPr>
          <w:snapToGrid w:val="0"/>
          <w:color w:val="auto"/>
          <w:sz w:val="18"/>
          <w:szCs w:val="18"/>
        </w:rPr>
        <w:fldChar w:fldCharType="end"/>
      </w:r>
      <w:r>
        <w:rPr>
          <w:snapToGrid w:val="0"/>
          <w:color w:val="auto"/>
          <w:sz w:val="18"/>
          <w:szCs w:val="18"/>
        </w:rPr>
        <w:t>+</w:t>
      </w:r>
      <w:r>
        <w:rPr>
          <w:snapToGrid w:val="0"/>
          <w:color w:val="auto"/>
          <w:sz w:val="18"/>
          <w:szCs w:val="18"/>
        </w:rPr>
        <w:fldChar w:fldCharType="begin"/>
      </w:r>
      <w:r>
        <w:rPr>
          <w:snapToGrid w:val="0"/>
          <w:color w:val="auto"/>
          <w:sz w:val="18"/>
          <w:szCs w:val="18"/>
        </w:rPr>
        <w:instrText xml:space="preserve"> = 4 \* GB3 \* MERGEFORMAT </w:instrText>
      </w:r>
      <w:r>
        <w:rPr>
          <w:snapToGrid w:val="0"/>
          <w:color w:val="auto"/>
          <w:sz w:val="18"/>
          <w:szCs w:val="18"/>
        </w:rPr>
        <w:fldChar w:fldCharType="separate"/>
      </w:r>
      <w:r>
        <w:rPr>
          <w:rFonts w:hint="eastAsia"/>
          <w:color w:val="auto"/>
          <w:sz w:val="18"/>
          <w:szCs w:val="18"/>
        </w:rPr>
        <w:t>④</w:t>
      </w:r>
      <w:r>
        <w:rPr>
          <w:snapToGrid w:val="0"/>
          <w:color w:val="auto"/>
          <w:sz w:val="18"/>
          <w:szCs w:val="18"/>
        </w:rPr>
        <w:fldChar w:fldCharType="end"/>
      </w:r>
      <w:r>
        <w:rPr>
          <w:snapToGrid w:val="0"/>
          <w:color w:val="auto"/>
          <w:sz w:val="18"/>
          <w:szCs w:val="18"/>
        </w:rPr>
        <w:t>-</w:t>
      </w:r>
      <w:r>
        <w:rPr>
          <w:snapToGrid w:val="0"/>
          <w:color w:val="auto"/>
          <w:spacing w:val="-16"/>
          <w:sz w:val="18"/>
          <w:szCs w:val="18"/>
        </w:rPr>
        <w:fldChar w:fldCharType="begin"/>
      </w:r>
      <w:r>
        <w:rPr>
          <w:snapToGrid w:val="0"/>
          <w:color w:val="auto"/>
          <w:spacing w:val="-16"/>
          <w:sz w:val="18"/>
          <w:szCs w:val="18"/>
        </w:rPr>
        <w:instrText xml:space="preserve"> = 5 \* GB3 \* MERGEFORMAT </w:instrText>
      </w:r>
      <w:r>
        <w:rPr>
          <w:snapToGrid w:val="0"/>
          <w:color w:val="auto"/>
          <w:spacing w:val="-16"/>
          <w:sz w:val="18"/>
          <w:szCs w:val="18"/>
        </w:rPr>
        <w:fldChar w:fldCharType="separate"/>
      </w:r>
      <w:r>
        <w:rPr>
          <w:rFonts w:hint="eastAsia"/>
          <w:color w:val="auto"/>
          <w:sz w:val="18"/>
          <w:szCs w:val="18"/>
        </w:rPr>
        <w:t>⑤</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7 \* GB3 \* MERGEFORMAT </w:instrText>
      </w:r>
      <w:r>
        <w:rPr>
          <w:snapToGrid w:val="0"/>
          <w:color w:val="auto"/>
          <w:sz w:val="18"/>
          <w:szCs w:val="18"/>
        </w:rPr>
        <w:fldChar w:fldCharType="separate"/>
      </w:r>
      <w:r>
        <w:rPr>
          <w:rFonts w:hint="eastAsia"/>
          <w:color w:val="auto"/>
          <w:sz w:val="18"/>
          <w:szCs w:val="18"/>
        </w:rPr>
        <w:t>⑦</w:t>
      </w:r>
      <w:r>
        <w:rPr>
          <w:snapToGrid w:val="0"/>
          <w:color w:val="auto"/>
          <w:sz w:val="18"/>
          <w:szCs w:val="18"/>
        </w:rPr>
        <w:fldChar w:fldCharType="end"/>
      </w:r>
      <w:r>
        <w:rPr>
          <w:snapToGrid w:val="0"/>
          <w:color w:val="auto"/>
          <w:sz w:val="18"/>
          <w:szCs w:val="18"/>
        </w:rPr>
        <w:t>=</w:t>
      </w:r>
      <w:r>
        <w:rPr>
          <w:snapToGrid w:val="0"/>
          <w:color w:val="auto"/>
          <w:spacing w:val="-16"/>
          <w:sz w:val="18"/>
          <w:szCs w:val="18"/>
        </w:rPr>
        <w:fldChar w:fldCharType="begin"/>
      </w:r>
      <w:r>
        <w:rPr>
          <w:snapToGrid w:val="0"/>
          <w:color w:val="auto"/>
          <w:spacing w:val="-16"/>
          <w:sz w:val="18"/>
          <w:szCs w:val="18"/>
        </w:rPr>
        <w:instrText xml:space="preserve"> = 6 \* GB3 \* MERGEFORMAT </w:instrText>
      </w:r>
      <w:r>
        <w:rPr>
          <w:snapToGrid w:val="0"/>
          <w:color w:val="auto"/>
          <w:spacing w:val="-16"/>
          <w:sz w:val="18"/>
          <w:szCs w:val="18"/>
        </w:rPr>
        <w:fldChar w:fldCharType="separate"/>
      </w:r>
      <w:r>
        <w:rPr>
          <w:rFonts w:hint="eastAsia"/>
          <w:color w:val="auto"/>
          <w:sz w:val="18"/>
          <w:szCs w:val="18"/>
        </w:rPr>
        <w:t>⑥</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1 \* GB3 \* MERGEFORMAT </w:instrText>
      </w:r>
      <w:r>
        <w:rPr>
          <w:snapToGrid w:val="0"/>
          <w:color w:val="auto"/>
          <w:sz w:val="18"/>
          <w:szCs w:val="18"/>
        </w:rPr>
        <w:fldChar w:fldCharType="separate"/>
      </w:r>
      <w:r>
        <w:rPr>
          <w:rFonts w:hint="eastAsia"/>
          <w:color w:val="auto"/>
          <w:sz w:val="18"/>
          <w:szCs w:val="18"/>
        </w:rPr>
        <w:t>①</w:t>
      </w:r>
      <w:r>
        <w:rPr>
          <w:snapToGrid w:val="0"/>
          <w:color w:val="auto"/>
          <w:sz w:val="18"/>
          <w:szCs w:val="18"/>
        </w:rPr>
        <w:fldChar w:fldCharType="end"/>
      </w:r>
      <w:bookmarkEnd w:id="124"/>
      <w:bookmarkEnd w:id="125"/>
      <w:bookmarkEnd w:id="126"/>
    </w:p>
    <w:sectPr>
      <w:pgSz w:w="16838" w:h="11906" w:orient="landscape"/>
      <w:pgMar w:top="1247" w:right="1440" w:bottom="1247" w:left="1440" w:header="851" w:footer="516" w:gutter="0"/>
      <w:pgBorders>
        <w:top w:val="none" w:sz="0" w:space="0"/>
        <w:left w:val="none" w:sz="0" w:space="0"/>
        <w:bottom w:val="none" w:sz="0" w:space="0"/>
        <w:right w:val="none" w:sz="0" w:space="0"/>
      </w:pgBorders>
      <w:pgNumType w:fmt="decimal" w:start="1"/>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Dutch">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jc w:val="center"/>
      <w:rPr>
        <w:b/>
      </w:rPr>
    </w:pPr>
  </w:p>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jc w:val="center"/>
      <w:rPr>
        <w:b/>
      </w:rPr>
    </w:pPr>
  </w:p>
  <w:p>
    <w:pPr>
      <w:pStyle w:val="2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R6kM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9HqQyQEAAJoDAAAOAAAAAAAAAAEAIAAAAB4BAABkcnMvZTJvRG9j&#10;LnhtbFBLBQYAAAAABgAGAFkBAABZBQ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v:textbox>
            </v:shape>
          </w:pict>
        </mc:Fallback>
      </mc:AlternateContent>
    </w:r>
  </w:p>
  <w:p>
    <w:pPr>
      <w:pStyle w:val="2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30</w:t>
                          </w:r>
                          <w:r>
                            <w:rPr>
                              <w:sz w:val="24"/>
                              <w:szCs w:val="24"/>
                            </w:rPr>
                            <w:fldChar w:fldCharType="end"/>
                          </w:r>
                          <w:r>
                            <w:rPr>
                              <w:rFonts w:hint="eastAsia"/>
                              <w:sz w:val="24"/>
                              <w:szCs w:val="24"/>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jyMgBAACa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fVlT4rjFiV++f7v8+HX5+ZXU&#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Jfo8jIAQAAmgMAAA4AAAAAAAAAAQAgAAAAHgEAAGRycy9lMm9Eb2Mu&#10;eG1sUEsFBgAAAAAGAAYAWQEAAFgFA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30</w:t>
                    </w:r>
                    <w:r>
                      <w:rPr>
                        <w:sz w:val="24"/>
                        <w:szCs w:val="24"/>
                      </w:rPr>
                      <w:fldChar w:fldCharType="end"/>
                    </w:r>
                    <w:r>
                      <w:rPr>
                        <w:rFonts w:hint="eastAsia"/>
                        <w:sz w:val="24"/>
                        <w:szCs w:val="24"/>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jkU/8oBAACa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jkU/8oBAACaAwAADgAAAAAAAAABACAAAAAeAQAAZHJzL2Uyb0Rv&#10;Yy54bWxQSwUGAAAAAAYABgBZAQAAWgU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v:textbox>
            </v:shape>
          </w:pict>
        </mc:Fallback>
      </mc:AlternateContent>
    </w:r>
  </w:p>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adjustRightInd w:val="0"/>
      <w:spacing w:line="240" w:lineRule="auto"/>
      <w:ind w:left="0" w:leftChars="0" w:right="0" w:rightChars="0" w:firstLine="0" w:firstLineChars="0"/>
      <w:jc w:val="center"/>
      <w:rPr>
        <w:rFonts w:ascii="楷体" w:hAnsi="楷体" w:eastAsia="楷体"/>
        <w:b/>
        <w:sz w:val="21"/>
        <w:szCs w:val="21"/>
      </w:rPr>
    </w:pPr>
    <w:r>
      <w:rPr>
        <w:rFonts w:hint="eastAsia" w:ascii="楷体" w:hAnsi="楷体" w:eastAsia="楷体"/>
        <w:b/>
        <w:sz w:val="21"/>
        <w:szCs w:val="21"/>
        <w:lang w:eastAsia="zh-CN"/>
      </w:rPr>
      <w:t>姚安县保健院妇婴医院住院综合楼建设项目</w:t>
    </w:r>
    <w:r>
      <w:rPr>
        <w:rFonts w:hint="eastAsia" w:ascii="楷体" w:hAnsi="楷体" w:eastAsia="楷体"/>
        <w:b/>
        <w:sz w:val="21"/>
        <w:szCs w:val="21"/>
      </w:rPr>
      <w:t>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adjustRightInd w:val="0"/>
      <w:spacing w:line="240" w:lineRule="auto"/>
      <w:ind w:left="0" w:leftChars="0" w:right="0" w:rightChars="0" w:firstLine="0" w:firstLineChars="0"/>
      <w:jc w:val="center"/>
      <w:rPr>
        <w:rFonts w:ascii="楷体" w:hAnsi="楷体" w:eastAsia="楷体"/>
        <w:b/>
        <w:sz w:val="21"/>
        <w:szCs w:val="21"/>
      </w:rPr>
    </w:pPr>
    <w:r>
      <w:rPr>
        <w:rFonts w:hint="eastAsia" w:ascii="楷体" w:hAnsi="楷体" w:eastAsia="楷体"/>
        <w:b/>
        <w:sz w:val="21"/>
        <w:szCs w:val="21"/>
        <w:lang w:eastAsia="zh-CN"/>
      </w:rPr>
      <w:t>姚安县保健院妇婴医院住院综合楼建设项目</w:t>
    </w:r>
    <w:r>
      <w:rPr>
        <w:rFonts w:hint="eastAsia" w:ascii="楷体" w:hAnsi="楷体" w:eastAsia="楷体"/>
        <w:b/>
        <w:sz w:val="21"/>
        <w:szCs w:val="21"/>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1BD7B"/>
    <w:multiLevelType w:val="singleLevel"/>
    <w:tmpl w:val="A8D1BD7B"/>
    <w:lvl w:ilvl="0" w:tentative="0">
      <w:start w:val="1"/>
      <w:numFmt w:val="decimal"/>
      <w:suff w:val="nothing"/>
      <w:lvlText w:val="（%1）"/>
      <w:lvlJc w:val="left"/>
    </w:lvl>
  </w:abstractNum>
  <w:abstractNum w:abstractNumId="1">
    <w:nsid w:val="C065D05F"/>
    <w:multiLevelType w:val="singleLevel"/>
    <w:tmpl w:val="C065D05F"/>
    <w:lvl w:ilvl="0" w:tentative="0">
      <w:start w:val="2"/>
      <w:numFmt w:val="decimal"/>
      <w:suff w:val="nothing"/>
      <w:lvlText w:val="（%1）"/>
      <w:lvlJc w:val="left"/>
    </w:lvl>
  </w:abstractNum>
  <w:abstractNum w:abstractNumId="2">
    <w:nsid w:val="C4A7EC77"/>
    <w:multiLevelType w:val="singleLevel"/>
    <w:tmpl w:val="C4A7EC77"/>
    <w:lvl w:ilvl="0" w:tentative="0">
      <w:start w:val="1"/>
      <w:numFmt w:val="decimal"/>
      <w:suff w:val="nothing"/>
      <w:lvlText w:val="（%1）"/>
      <w:lvlJc w:val="left"/>
    </w:lvl>
  </w:abstractNum>
  <w:abstractNum w:abstractNumId="3">
    <w:nsid w:val="2DB046B9"/>
    <w:multiLevelType w:val="singleLevel"/>
    <w:tmpl w:val="2DB046B9"/>
    <w:lvl w:ilvl="0" w:tentative="0">
      <w:start w:val="4"/>
      <w:numFmt w:val="decimal"/>
      <w:suff w:val="nothing"/>
      <w:lvlText w:val="%1、"/>
      <w:lvlJc w:val="left"/>
    </w:lvl>
  </w:abstractNum>
  <w:abstractNum w:abstractNumId="4">
    <w:nsid w:val="31084443"/>
    <w:multiLevelType w:val="singleLevel"/>
    <w:tmpl w:val="31084443"/>
    <w:lvl w:ilvl="0" w:tentative="0">
      <w:start w:val="2"/>
      <w:numFmt w:val="decimal"/>
      <w:suff w:val="nothing"/>
      <w:lvlText w:val="%1、"/>
      <w:lvlJc w:val="left"/>
    </w:lvl>
  </w:abstractNum>
  <w:abstractNum w:abstractNumId="5">
    <w:nsid w:val="48C41C62"/>
    <w:multiLevelType w:val="singleLevel"/>
    <w:tmpl w:val="48C41C62"/>
    <w:lvl w:ilvl="0" w:tentative="0">
      <w:start w:val="1"/>
      <w:numFmt w:val="decimal"/>
      <w:suff w:val="nothing"/>
      <w:lvlText w:val="%1、"/>
      <w:lvlJc w:val="left"/>
    </w:lvl>
  </w:abstractNum>
  <w:abstractNum w:abstractNumId="6">
    <w:nsid w:val="6C830F3C"/>
    <w:multiLevelType w:val="singleLevel"/>
    <w:tmpl w:val="6C830F3C"/>
    <w:lvl w:ilvl="0" w:tentative="0">
      <w:start w:val="2"/>
      <w:numFmt w:val="chineseCounting"/>
      <w:suff w:val="nothing"/>
      <w:lvlText w:val="%1、"/>
      <w:lvlJc w:val="left"/>
      <w:rPr>
        <w:rFonts w:hint="eastAsia"/>
      </w:r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jYzY3MjdiMmE2Yzg2YmZhYjUxZDcyYWY5NzAzMjQifQ=="/>
  </w:docVars>
  <w:rsids>
    <w:rsidRoot w:val="00172A27"/>
    <w:rsid w:val="00000703"/>
    <w:rsid w:val="0000118C"/>
    <w:rsid w:val="00002DC8"/>
    <w:rsid w:val="0000432C"/>
    <w:rsid w:val="00004829"/>
    <w:rsid w:val="00005032"/>
    <w:rsid w:val="000051B2"/>
    <w:rsid w:val="00005979"/>
    <w:rsid w:val="00005C4C"/>
    <w:rsid w:val="00005DEA"/>
    <w:rsid w:val="0000630D"/>
    <w:rsid w:val="00006606"/>
    <w:rsid w:val="00006A23"/>
    <w:rsid w:val="00006D7B"/>
    <w:rsid w:val="00006F8E"/>
    <w:rsid w:val="0000729B"/>
    <w:rsid w:val="00007F33"/>
    <w:rsid w:val="00010036"/>
    <w:rsid w:val="000106F8"/>
    <w:rsid w:val="0001098D"/>
    <w:rsid w:val="00010C4F"/>
    <w:rsid w:val="000114DB"/>
    <w:rsid w:val="000115AD"/>
    <w:rsid w:val="00011664"/>
    <w:rsid w:val="00011F88"/>
    <w:rsid w:val="00011FF1"/>
    <w:rsid w:val="00012623"/>
    <w:rsid w:val="00012712"/>
    <w:rsid w:val="00012851"/>
    <w:rsid w:val="00012F20"/>
    <w:rsid w:val="00013387"/>
    <w:rsid w:val="000138EC"/>
    <w:rsid w:val="000138F5"/>
    <w:rsid w:val="00013A30"/>
    <w:rsid w:val="00015CF6"/>
    <w:rsid w:val="00015E84"/>
    <w:rsid w:val="000162F2"/>
    <w:rsid w:val="00016AAF"/>
    <w:rsid w:val="0001746C"/>
    <w:rsid w:val="00017D48"/>
    <w:rsid w:val="00020757"/>
    <w:rsid w:val="0002075D"/>
    <w:rsid w:val="000213A7"/>
    <w:rsid w:val="000213F9"/>
    <w:rsid w:val="00021784"/>
    <w:rsid w:val="00021B8A"/>
    <w:rsid w:val="0002254F"/>
    <w:rsid w:val="00022653"/>
    <w:rsid w:val="00022674"/>
    <w:rsid w:val="00022BF9"/>
    <w:rsid w:val="0002301A"/>
    <w:rsid w:val="00023F06"/>
    <w:rsid w:val="000240FE"/>
    <w:rsid w:val="000246A3"/>
    <w:rsid w:val="00025409"/>
    <w:rsid w:val="00025577"/>
    <w:rsid w:val="00025D93"/>
    <w:rsid w:val="00025DAC"/>
    <w:rsid w:val="00025F9A"/>
    <w:rsid w:val="000263EF"/>
    <w:rsid w:val="00026520"/>
    <w:rsid w:val="00026674"/>
    <w:rsid w:val="00026D3F"/>
    <w:rsid w:val="00027277"/>
    <w:rsid w:val="00027F94"/>
    <w:rsid w:val="000302C8"/>
    <w:rsid w:val="0003058A"/>
    <w:rsid w:val="00030605"/>
    <w:rsid w:val="00031443"/>
    <w:rsid w:val="0003177A"/>
    <w:rsid w:val="00031C1B"/>
    <w:rsid w:val="00031EB5"/>
    <w:rsid w:val="00032D87"/>
    <w:rsid w:val="00033036"/>
    <w:rsid w:val="00033061"/>
    <w:rsid w:val="0003342B"/>
    <w:rsid w:val="0003389A"/>
    <w:rsid w:val="00033B06"/>
    <w:rsid w:val="00033D1E"/>
    <w:rsid w:val="00033ECC"/>
    <w:rsid w:val="00034BCB"/>
    <w:rsid w:val="000352B2"/>
    <w:rsid w:val="00035CFD"/>
    <w:rsid w:val="00035DF7"/>
    <w:rsid w:val="00036CD9"/>
    <w:rsid w:val="00040CDD"/>
    <w:rsid w:val="00041432"/>
    <w:rsid w:val="0004159F"/>
    <w:rsid w:val="000415F1"/>
    <w:rsid w:val="00041822"/>
    <w:rsid w:val="00041BB5"/>
    <w:rsid w:val="000423F1"/>
    <w:rsid w:val="000426B6"/>
    <w:rsid w:val="000429C0"/>
    <w:rsid w:val="00042BEB"/>
    <w:rsid w:val="00044215"/>
    <w:rsid w:val="00044537"/>
    <w:rsid w:val="00044B9C"/>
    <w:rsid w:val="00044BB0"/>
    <w:rsid w:val="00045191"/>
    <w:rsid w:val="00045631"/>
    <w:rsid w:val="0004599A"/>
    <w:rsid w:val="00045E04"/>
    <w:rsid w:val="000475D7"/>
    <w:rsid w:val="00047900"/>
    <w:rsid w:val="00047D18"/>
    <w:rsid w:val="000504B7"/>
    <w:rsid w:val="00050554"/>
    <w:rsid w:val="00050A30"/>
    <w:rsid w:val="00050E47"/>
    <w:rsid w:val="00050F03"/>
    <w:rsid w:val="00051638"/>
    <w:rsid w:val="00051CD1"/>
    <w:rsid w:val="0005287D"/>
    <w:rsid w:val="00052DF0"/>
    <w:rsid w:val="000530DA"/>
    <w:rsid w:val="00053494"/>
    <w:rsid w:val="00053A74"/>
    <w:rsid w:val="0005402D"/>
    <w:rsid w:val="000545AC"/>
    <w:rsid w:val="00054793"/>
    <w:rsid w:val="00054937"/>
    <w:rsid w:val="00054968"/>
    <w:rsid w:val="00054BC2"/>
    <w:rsid w:val="00054D93"/>
    <w:rsid w:val="0005504B"/>
    <w:rsid w:val="000554DC"/>
    <w:rsid w:val="0005559E"/>
    <w:rsid w:val="000556BF"/>
    <w:rsid w:val="00055F95"/>
    <w:rsid w:val="00056C32"/>
    <w:rsid w:val="000572C5"/>
    <w:rsid w:val="00057AC9"/>
    <w:rsid w:val="000604D7"/>
    <w:rsid w:val="000609B9"/>
    <w:rsid w:val="00060F65"/>
    <w:rsid w:val="00061158"/>
    <w:rsid w:val="00061230"/>
    <w:rsid w:val="00061C7D"/>
    <w:rsid w:val="00061EAF"/>
    <w:rsid w:val="0006241F"/>
    <w:rsid w:val="000635B4"/>
    <w:rsid w:val="000641E6"/>
    <w:rsid w:val="00064476"/>
    <w:rsid w:val="00064751"/>
    <w:rsid w:val="00065BED"/>
    <w:rsid w:val="00065D4D"/>
    <w:rsid w:val="00065EAE"/>
    <w:rsid w:val="00066115"/>
    <w:rsid w:val="00066762"/>
    <w:rsid w:val="0006699E"/>
    <w:rsid w:val="00066C7B"/>
    <w:rsid w:val="000711F9"/>
    <w:rsid w:val="0007185B"/>
    <w:rsid w:val="00071B11"/>
    <w:rsid w:val="000725DC"/>
    <w:rsid w:val="00072881"/>
    <w:rsid w:val="00073375"/>
    <w:rsid w:val="000735BE"/>
    <w:rsid w:val="00073672"/>
    <w:rsid w:val="0007463A"/>
    <w:rsid w:val="0007469B"/>
    <w:rsid w:val="000747D8"/>
    <w:rsid w:val="00074827"/>
    <w:rsid w:val="00074A8D"/>
    <w:rsid w:val="00074B92"/>
    <w:rsid w:val="00074BA1"/>
    <w:rsid w:val="00074C92"/>
    <w:rsid w:val="000750DF"/>
    <w:rsid w:val="0007551C"/>
    <w:rsid w:val="00075785"/>
    <w:rsid w:val="000759D1"/>
    <w:rsid w:val="000765AD"/>
    <w:rsid w:val="00076835"/>
    <w:rsid w:val="00076BA5"/>
    <w:rsid w:val="0007701B"/>
    <w:rsid w:val="0007703E"/>
    <w:rsid w:val="0007793A"/>
    <w:rsid w:val="00077DCC"/>
    <w:rsid w:val="00077F3F"/>
    <w:rsid w:val="00077FE1"/>
    <w:rsid w:val="00080641"/>
    <w:rsid w:val="000806AB"/>
    <w:rsid w:val="000816B4"/>
    <w:rsid w:val="00081C8F"/>
    <w:rsid w:val="00082672"/>
    <w:rsid w:val="00083242"/>
    <w:rsid w:val="00083576"/>
    <w:rsid w:val="00083E92"/>
    <w:rsid w:val="000840DC"/>
    <w:rsid w:val="000868DF"/>
    <w:rsid w:val="00086A98"/>
    <w:rsid w:val="00087E40"/>
    <w:rsid w:val="00090511"/>
    <w:rsid w:val="00090877"/>
    <w:rsid w:val="0009128B"/>
    <w:rsid w:val="00091390"/>
    <w:rsid w:val="000915AD"/>
    <w:rsid w:val="00091BF7"/>
    <w:rsid w:val="000923B2"/>
    <w:rsid w:val="00092D5D"/>
    <w:rsid w:val="0009305E"/>
    <w:rsid w:val="000932E1"/>
    <w:rsid w:val="000933F3"/>
    <w:rsid w:val="00093586"/>
    <w:rsid w:val="00093C44"/>
    <w:rsid w:val="000944EF"/>
    <w:rsid w:val="00094A05"/>
    <w:rsid w:val="00095940"/>
    <w:rsid w:val="000959CE"/>
    <w:rsid w:val="00095A39"/>
    <w:rsid w:val="00095ABC"/>
    <w:rsid w:val="00095DA0"/>
    <w:rsid w:val="000966F6"/>
    <w:rsid w:val="00096730"/>
    <w:rsid w:val="00096B4E"/>
    <w:rsid w:val="00097886"/>
    <w:rsid w:val="00097B78"/>
    <w:rsid w:val="00097BFD"/>
    <w:rsid w:val="00097F3E"/>
    <w:rsid w:val="000A0000"/>
    <w:rsid w:val="000A09EE"/>
    <w:rsid w:val="000A0F2F"/>
    <w:rsid w:val="000A1279"/>
    <w:rsid w:val="000A1317"/>
    <w:rsid w:val="000A1EEF"/>
    <w:rsid w:val="000A2344"/>
    <w:rsid w:val="000A2AAE"/>
    <w:rsid w:val="000A2E78"/>
    <w:rsid w:val="000A376A"/>
    <w:rsid w:val="000A39D4"/>
    <w:rsid w:val="000A3AF4"/>
    <w:rsid w:val="000A519D"/>
    <w:rsid w:val="000A598D"/>
    <w:rsid w:val="000A63BF"/>
    <w:rsid w:val="000A6423"/>
    <w:rsid w:val="000A66CA"/>
    <w:rsid w:val="000A69AA"/>
    <w:rsid w:val="000A6BFC"/>
    <w:rsid w:val="000A737D"/>
    <w:rsid w:val="000A742B"/>
    <w:rsid w:val="000A74AB"/>
    <w:rsid w:val="000A76A7"/>
    <w:rsid w:val="000A7D93"/>
    <w:rsid w:val="000A7D9D"/>
    <w:rsid w:val="000A7FF0"/>
    <w:rsid w:val="000B01DC"/>
    <w:rsid w:val="000B0640"/>
    <w:rsid w:val="000B07C3"/>
    <w:rsid w:val="000B0D2D"/>
    <w:rsid w:val="000B0D58"/>
    <w:rsid w:val="000B0FE5"/>
    <w:rsid w:val="000B12A5"/>
    <w:rsid w:val="000B230D"/>
    <w:rsid w:val="000B2B29"/>
    <w:rsid w:val="000B3603"/>
    <w:rsid w:val="000B3725"/>
    <w:rsid w:val="000B40BA"/>
    <w:rsid w:val="000B42DD"/>
    <w:rsid w:val="000B4344"/>
    <w:rsid w:val="000B4830"/>
    <w:rsid w:val="000B4F99"/>
    <w:rsid w:val="000B5050"/>
    <w:rsid w:val="000B542D"/>
    <w:rsid w:val="000B545C"/>
    <w:rsid w:val="000B5C64"/>
    <w:rsid w:val="000B7D56"/>
    <w:rsid w:val="000C07EB"/>
    <w:rsid w:val="000C186F"/>
    <w:rsid w:val="000C1AD6"/>
    <w:rsid w:val="000C22A0"/>
    <w:rsid w:val="000C22AF"/>
    <w:rsid w:val="000C236B"/>
    <w:rsid w:val="000C27FE"/>
    <w:rsid w:val="000C280A"/>
    <w:rsid w:val="000C2DAA"/>
    <w:rsid w:val="000C2F38"/>
    <w:rsid w:val="000C3682"/>
    <w:rsid w:val="000C3F48"/>
    <w:rsid w:val="000C4410"/>
    <w:rsid w:val="000C4B24"/>
    <w:rsid w:val="000C61C7"/>
    <w:rsid w:val="000C695A"/>
    <w:rsid w:val="000C6B0F"/>
    <w:rsid w:val="000C6E66"/>
    <w:rsid w:val="000C707C"/>
    <w:rsid w:val="000C7CE6"/>
    <w:rsid w:val="000C7D0E"/>
    <w:rsid w:val="000D00BC"/>
    <w:rsid w:val="000D0688"/>
    <w:rsid w:val="000D0995"/>
    <w:rsid w:val="000D0BEE"/>
    <w:rsid w:val="000D13A9"/>
    <w:rsid w:val="000D149D"/>
    <w:rsid w:val="000D17ED"/>
    <w:rsid w:val="000D190B"/>
    <w:rsid w:val="000D200F"/>
    <w:rsid w:val="000D2238"/>
    <w:rsid w:val="000D26B5"/>
    <w:rsid w:val="000D2743"/>
    <w:rsid w:val="000D2871"/>
    <w:rsid w:val="000D2B9B"/>
    <w:rsid w:val="000D2FE8"/>
    <w:rsid w:val="000D3520"/>
    <w:rsid w:val="000D3DF3"/>
    <w:rsid w:val="000D4551"/>
    <w:rsid w:val="000D45B8"/>
    <w:rsid w:val="000D496F"/>
    <w:rsid w:val="000D4F35"/>
    <w:rsid w:val="000D4F70"/>
    <w:rsid w:val="000D5018"/>
    <w:rsid w:val="000D5326"/>
    <w:rsid w:val="000D540B"/>
    <w:rsid w:val="000D578C"/>
    <w:rsid w:val="000D612C"/>
    <w:rsid w:val="000D6593"/>
    <w:rsid w:val="000D7832"/>
    <w:rsid w:val="000D7ED1"/>
    <w:rsid w:val="000E04C7"/>
    <w:rsid w:val="000E07A1"/>
    <w:rsid w:val="000E1CEC"/>
    <w:rsid w:val="000E1EA0"/>
    <w:rsid w:val="000E20DC"/>
    <w:rsid w:val="000E2148"/>
    <w:rsid w:val="000E23D6"/>
    <w:rsid w:val="000E2D2F"/>
    <w:rsid w:val="000E2EDE"/>
    <w:rsid w:val="000E334F"/>
    <w:rsid w:val="000E3665"/>
    <w:rsid w:val="000E415C"/>
    <w:rsid w:val="000E4267"/>
    <w:rsid w:val="000E6188"/>
    <w:rsid w:val="000E6255"/>
    <w:rsid w:val="000E677D"/>
    <w:rsid w:val="000E6850"/>
    <w:rsid w:val="000E6969"/>
    <w:rsid w:val="000E74AE"/>
    <w:rsid w:val="000E7600"/>
    <w:rsid w:val="000E7617"/>
    <w:rsid w:val="000E7AE2"/>
    <w:rsid w:val="000F166F"/>
    <w:rsid w:val="000F1AF6"/>
    <w:rsid w:val="000F1D8B"/>
    <w:rsid w:val="000F2073"/>
    <w:rsid w:val="000F23EB"/>
    <w:rsid w:val="000F29D9"/>
    <w:rsid w:val="000F3128"/>
    <w:rsid w:val="000F3A4A"/>
    <w:rsid w:val="000F3C2F"/>
    <w:rsid w:val="000F4B90"/>
    <w:rsid w:val="000F5528"/>
    <w:rsid w:val="000F5A87"/>
    <w:rsid w:val="000F6037"/>
    <w:rsid w:val="000F6902"/>
    <w:rsid w:val="000F7A1D"/>
    <w:rsid w:val="000F7B3D"/>
    <w:rsid w:val="000F7CEC"/>
    <w:rsid w:val="000F7F8F"/>
    <w:rsid w:val="00100250"/>
    <w:rsid w:val="001012D4"/>
    <w:rsid w:val="00101DEC"/>
    <w:rsid w:val="00101EDB"/>
    <w:rsid w:val="001021E3"/>
    <w:rsid w:val="0010260F"/>
    <w:rsid w:val="0010402E"/>
    <w:rsid w:val="00104121"/>
    <w:rsid w:val="001041B0"/>
    <w:rsid w:val="001041F3"/>
    <w:rsid w:val="001042A4"/>
    <w:rsid w:val="0010493D"/>
    <w:rsid w:val="00104DB4"/>
    <w:rsid w:val="00104DB8"/>
    <w:rsid w:val="00105210"/>
    <w:rsid w:val="00105870"/>
    <w:rsid w:val="00105A0B"/>
    <w:rsid w:val="00105BA7"/>
    <w:rsid w:val="001071E5"/>
    <w:rsid w:val="00107428"/>
    <w:rsid w:val="00107515"/>
    <w:rsid w:val="00107740"/>
    <w:rsid w:val="00107DC5"/>
    <w:rsid w:val="001104FA"/>
    <w:rsid w:val="00110B43"/>
    <w:rsid w:val="00110DC7"/>
    <w:rsid w:val="00111207"/>
    <w:rsid w:val="001118B3"/>
    <w:rsid w:val="0011252D"/>
    <w:rsid w:val="00112A15"/>
    <w:rsid w:val="00113635"/>
    <w:rsid w:val="00113AA6"/>
    <w:rsid w:val="00114757"/>
    <w:rsid w:val="00114C50"/>
    <w:rsid w:val="00114FA2"/>
    <w:rsid w:val="00115298"/>
    <w:rsid w:val="001154E6"/>
    <w:rsid w:val="00115801"/>
    <w:rsid w:val="00115CDE"/>
    <w:rsid w:val="00115FF8"/>
    <w:rsid w:val="001166B4"/>
    <w:rsid w:val="00116D49"/>
    <w:rsid w:val="00116ED1"/>
    <w:rsid w:val="00117542"/>
    <w:rsid w:val="00117D5E"/>
    <w:rsid w:val="0012036E"/>
    <w:rsid w:val="0012057C"/>
    <w:rsid w:val="00120673"/>
    <w:rsid w:val="0012084E"/>
    <w:rsid w:val="00121500"/>
    <w:rsid w:val="001215C8"/>
    <w:rsid w:val="00121AEB"/>
    <w:rsid w:val="0012209E"/>
    <w:rsid w:val="00122485"/>
    <w:rsid w:val="0012274E"/>
    <w:rsid w:val="00122D79"/>
    <w:rsid w:val="00122D9F"/>
    <w:rsid w:val="00123074"/>
    <w:rsid w:val="0012307E"/>
    <w:rsid w:val="0012357B"/>
    <w:rsid w:val="001238A9"/>
    <w:rsid w:val="00123C87"/>
    <w:rsid w:val="00123E24"/>
    <w:rsid w:val="0012478F"/>
    <w:rsid w:val="0012491F"/>
    <w:rsid w:val="00124BC3"/>
    <w:rsid w:val="00124CC9"/>
    <w:rsid w:val="0012507E"/>
    <w:rsid w:val="00125691"/>
    <w:rsid w:val="0012589E"/>
    <w:rsid w:val="00126183"/>
    <w:rsid w:val="001267EF"/>
    <w:rsid w:val="00126AE3"/>
    <w:rsid w:val="00126D68"/>
    <w:rsid w:val="001273DF"/>
    <w:rsid w:val="00127EE0"/>
    <w:rsid w:val="00130228"/>
    <w:rsid w:val="001302CC"/>
    <w:rsid w:val="00130B41"/>
    <w:rsid w:val="00130E92"/>
    <w:rsid w:val="00131010"/>
    <w:rsid w:val="001311DD"/>
    <w:rsid w:val="00131AA4"/>
    <w:rsid w:val="00131E49"/>
    <w:rsid w:val="00132238"/>
    <w:rsid w:val="001326F2"/>
    <w:rsid w:val="001331D5"/>
    <w:rsid w:val="00133267"/>
    <w:rsid w:val="00133402"/>
    <w:rsid w:val="00133477"/>
    <w:rsid w:val="00133646"/>
    <w:rsid w:val="0013367E"/>
    <w:rsid w:val="00133F13"/>
    <w:rsid w:val="00134952"/>
    <w:rsid w:val="00134A90"/>
    <w:rsid w:val="00134E95"/>
    <w:rsid w:val="0013538D"/>
    <w:rsid w:val="0013641D"/>
    <w:rsid w:val="001368E5"/>
    <w:rsid w:val="001376E7"/>
    <w:rsid w:val="001377DE"/>
    <w:rsid w:val="00137AD1"/>
    <w:rsid w:val="001417BA"/>
    <w:rsid w:val="00141A05"/>
    <w:rsid w:val="00141A23"/>
    <w:rsid w:val="001424BD"/>
    <w:rsid w:val="00142684"/>
    <w:rsid w:val="00142A27"/>
    <w:rsid w:val="0014304E"/>
    <w:rsid w:val="00143160"/>
    <w:rsid w:val="00143B4A"/>
    <w:rsid w:val="00143F5F"/>
    <w:rsid w:val="00143FCD"/>
    <w:rsid w:val="0014408C"/>
    <w:rsid w:val="001440C3"/>
    <w:rsid w:val="0014419B"/>
    <w:rsid w:val="00144638"/>
    <w:rsid w:val="00144B5D"/>
    <w:rsid w:val="001452E6"/>
    <w:rsid w:val="00145806"/>
    <w:rsid w:val="00145A32"/>
    <w:rsid w:val="00145F0A"/>
    <w:rsid w:val="00146229"/>
    <w:rsid w:val="00146977"/>
    <w:rsid w:val="00146B00"/>
    <w:rsid w:val="00146D8A"/>
    <w:rsid w:val="00147783"/>
    <w:rsid w:val="00147E6B"/>
    <w:rsid w:val="001502FB"/>
    <w:rsid w:val="001514F7"/>
    <w:rsid w:val="001519FF"/>
    <w:rsid w:val="001520D1"/>
    <w:rsid w:val="00152322"/>
    <w:rsid w:val="00153AC0"/>
    <w:rsid w:val="00153B3D"/>
    <w:rsid w:val="00154184"/>
    <w:rsid w:val="0015432F"/>
    <w:rsid w:val="001544A0"/>
    <w:rsid w:val="0015484D"/>
    <w:rsid w:val="00154E05"/>
    <w:rsid w:val="00154FA5"/>
    <w:rsid w:val="001550E6"/>
    <w:rsid w:val="00155580"/>
    <w:rsid w:val="00155B7F"/>
    <w:rsid w:val="00156CDF"/>
    <w:rsid w:val="00157164"/>
    <w:rsid w:val="001573F5"/>
    <w:rsid w:val="0015784F"/>
    <w:rsid w:val="00157A0F"/>
    <w:rsid w:val="00160441"/>
    <w:rsid w:val="00161ACF"/>
    <w:rsid w:val="00161CAF"/>
    <w:rsid w:val="00161DC5"/>
    <w:rsid w:val="001623E1"/>
    <w:rsid w:val="00162A40"/>
    <w:rsid w:val="00162A59"/>
    <w:rsid w:val="0016301E"/>
    <w:rsid w:val="0016309E"/>
    <w:rsid w:val="00163F05"/>
    <w:rsid w:val="00164B59"/>
    <w:rsid w:val="00164B64"/>
    <w:rsid w:val="00165E31"/>
    <w:rsid w:val="001663A2"/>
    <w:rsid w:val="00166A33"/>
    <w:rsid w:val="00166A3D"/>
    <w:rsid w:val="001676F2"/>
    <w:rsid w:val="00167708"/>
    <w:rsid w:val="001701CE"/>
    <w:rsid w:val="00170519"/>
    <w:rsid w:val="00172718"/>
    <w:rsid w:val="00172D52"/>
    <w:rsid w:val="00173969"/>
    <w:rsid w:val="00173ACA"/>
    <w:rsid w:val="00173ECF"/>
    <w:rsid w:val="0017416C"/>
    <w:rsid w:val="001743DA"/>
    <w:rsid w:val="00174916"/>
    <w:rsid w:val="00174BD4"/>
    <w:rsid w:val="001754CA"/>
    <w:rsid w:val="001757E8"/>
    <w:rsid w:val="00175C48"/>
    <w:rsid w:val="00175D99"/>
    <w:rsid w:val="00175EB4"/>
    <w:rsid w:val="00175F7C"/>
    <w:rsid w:val="001763A7"/>
    <w:rsid w:val="00176447"/>
    <w:rsid w:val="00176D9C"/>
    <w:rsid w:val="00176DD8"/>
    <w:rsid w:val="0017735E"/>
    <w:rsid w:val="001773D6"/>
    <w:rsid w:val="0017776B"/>
    <w:rsid w:val="00177B9B"/>
    <w:rsid w:val="00177FD9"/>
    <w:rsid w:val="00180FD7"/>
    <w:rsid w:val="00181B6B"/>
    <w:rsid w:val="00181EE8"/>
    <w:rsid w:val="001828AC"/>
    <w:rsid w:val="00183A05"/>
    <w:rsid w:val="00183F10"/>
    <w:rsid w:val="0018401F"/>
    <w:rsid w:val="0018434D"/>
    <w:rsid w:val="00184E24"/>
    <w:rsid w:val="00185072"/>
    <w:rsid w:val="00185E6F"/>
    <w:rsid w:val="00186167"/>
    <w:rsid w:val="0018661E"/>
    <w:rsid w:val="00186674"/>
    <w:rsid w:val="001868C2"/>
    <w:rsid w:val="00186A67"/>
    <w:rsid w:val="00186ACB"/>
    <w:rsid w:val="00186B7F"/>
    <w:rsid w:val="00186E09"/>
    <w:rsid w:val="0018771B"/>
    <w:rsid w:val="0018793A"/>
    <w:rsid w:val="00187CCB"/>
    <w:rsid w:val="00187CF3"/>
    <w:rsid w:val="00187FC9"/>
    <w:rsid w:val="0019041C"/>
    <w:rsid w:val="00190B1C"/>
    <w:rsid w:val="00191123"/>
    <w:rsid w:val="001914E0"/>
    <w:rsid w:val="00191BCA"/>
    <w:rsid w:val="00192D22"/>
    <w:rsid w:val="00193154"/>
    <w:rsid w:val="00193177"/>
    <w:rsid w:val="00193193"/>
    <w:rsid w:val="001943EA"/>
    <w:rsid w:val="001945D8"/>
    <w:rsid w:val="00196864"/>
    <w:rsid w:val="00196EC9"/>
    <w:rsid w:val="00196F64"/>
    <w:rsid w:val="00197165"/>
    <w:rsid w:val="00197DA9"/>
    <w:rsid w:val="00197DAA"/>
    <w:rsid w:val="00197E9E"/>
    <w:rsid w:val="001A01EC"/>
    <w:rsid w:val="001A02AF"/>
    <w:rsid w:val="001A0666"/>
    <w:rsid w:val="001A14BB"/>
    <w:rsid w:val="001A19E2"/>
    <w:rsid w:val="001A1B96"/>
    <w:rsid w:val="001A35DE"/>
    <w:rsid w:val="001A37D6"/>
    <w:rsid w:val="001A38A8"/>
    <w:rsid w:val="001A3A40"/>
    <w:rsid w:val="001A42FC"/>
    <w:rsid w:val="001A452F"/>
    <w:rsid w:val="001A59A1"/>
    <w:rsid w:val="001A63F7"/>
    <w:rsid w:val="001A646F"/>
    <w:rsid w:val="001A68D1"/>
    <w:rsid w:val="001A69BB"/>
    <w:rsid w:val="001A6E4B"/>
    <w:rsid w:val="001A76D8"/>
    <w:rsid w:val="001A777B"/>
    <w:rsid w:val="001A7AAF"/>
    <w:rsid w:val="001A7B85"/>
    <w:rsid w:val="001B0370"/>
    <w:rsid w:val="001B066D"/>
    <w:rsid w:val="001B098A"/>
    <w:rsid w:val="001B0CDF"/>
    <w:rsid w:val="001B0D5E"/>
    <w:rsid w:val="001B0D9B"/>
    <w:rsid w:val="001B0DBC"/>
    <w:rsid w:val="001B154D"/>
    <w:rsid w:val="001B180C"/>
    <w:rsid w:val="001B1AD6"/>
    <w:rsid w:val="001B1E43"/>
    <w:rsid w:val="001B310B"/>
    <w:rsid w:val="001B3310"/>
    <w:rsid w:val="001B3347"/>
    <w:rsid w:val="001B335B"/>
    <w:rsid w:val="001B3E46"/>
    <w:rsid w:val="001B4C58"/>
    <w:rsid w:val="001B4F11"/>
    <w:rsid w:val="001B5320"/>
    <w:rsid w:val="001B543E"/>
    <w:rsid w:val="001B5C95"/>
    <w:rsid w:val="001B5E22"/>
    <w:rsid w:val="001B6AFC"/>
    <w:rsid w:val="001C0832"/>
    <w:rsid w:val="001C0DA6"/>
    <w:rsid w:val="001C0FDB"/>
    <w:rsid w:val="001C1262"/>
    <w:rsid w:val="001C190A"/>
    <w:rsid w:val="001C1E5A"/>
    <w:rsid w:val="001C214A"/>
    <w:rsid w:val="001C2794"/>
    <w:rsid w:val="001C2FCE"/>
    <w:rsid w:val="001C3690"/>
    <w:rsid w:val="001C3D7A"/>
    <w:rsid w:val="001C3D8E"/>
    <w:rsid w:val="001C421C"/>
    <w:rsid w:val="001C446C"/>
    <w:rsid w:val="001C44A0"/>
    <w:rsid w:val="001C4557"/>
    <w:rsid w:val="001C4A7E"/>
    <w:rsid w:val="001C4EC0"/>
    <w:rsid w:val="001C4FF5"/>
    <w:rsid w:val="001C56BE"/>
    <w:rsid w:val="001C596A"/>
    <w:rsid w:val="001C5BD9"/>
    <w:rsid w:val="001C5D53"/>
    <w:rsid w:val="001C5EBB"/>
    <w:rsid w:val="001C6C5A"/>
    <w:rsid w:val="001C6C78"/>
    <w:rsid w:val="001C6E80"/>
    <w:rsid w:val="001C7A2B"/>
    <w:rsid w:val="001C7A7F"/>
    <w:rsid w:val="001C7DD9"/>
    <w:rsid w:val="001C7F1D"/>
    <w:rsid w:val="001D0159"/>
    <w:rsid w:val="001D091D"/>
    <w:rsid w:val="001D0B58"/>
    <w:rsid w:val="001D0D34"/>
    <w:rsid w:val="001D0DE3"/>
    <w:rsid w:val="001D1344"/>
    <w:rsid w:val="001D1737"/>
    <w:rsid w:val="001D1908"/>
    <w:rsid w:val="001D1EB1"/>
    <w:rsid w:val="001D2709"/>
    <w:rsid w:val="001D30B8"/>
    <w:rsid w:val="001D3AFF"/>
    <w:rsid w:val="001D3FBC"/>
    <w:rsid w:val="001D4651"/>
    <w:rsid w:val="001D4B56"/>
    <w:rsid w:val="001D5068"/>
    <w:rsid w:val="001D5837"/>
    <w:rsid w:val="001D5B89"/>
    <w:rsid w:val="001D5CD7"/>
    <w:rsid w:val="001D5D6A"/>
    <w:rsid w:val="001D6E72"/>
    <w:rsid w:val="001D7CFF"/>
    <w:rsid w:val="001E0AE1"/>
    <w:rsid w:val="001E157C"/>
    <w:rsid w:val="001E215D"/>
    <w:rsid w:val="001E23E2"/>
    <w:rsid w:val="001E2B0A"/>
    <w:rsid w:val="001E2B14"/>
    <w:rsid w:val="001E2BD6"/>
    <w:rsid w:val="001E300E"/>
    <w:rsid w:val="001E33DA"/>
    <w:rsid w:val="001E340E"/>
    <w:rsid w:val="001E3FE6"/>
    <w:rsid w:val="001E4C31"/>
    <w:rsid w:val="001E5693"/>
    <w:rsid w:val="001E5939"/>
    <w:rsid w:val="001E5FA2"/>
    <w:rsid w:val="001E62AC"/>
    <w:rsid w:val="001E66D2"/>
    <w:rsid w:val="001E69D9"/>
    <w:rsid w:val="001E6C06"/>
    <w:rsid w:val="001E7774"/>
    <w:rsid w:val="001E79CB"/>
    <w:rsid w:val="001E7B4B"/>
    <w:rsid w:val="001E7E42"/>
    <w:rsid w:val="001F0905"/>
    <w:rsid w:val="001F1093"/>
    <w:rsid w:val="001F21F9"/>
    <w:rsid w:val="001F295A"/>
    <w:rsid w:val="001F2B32"/>
    <w:rsid w:val="001F2D1F"/>
    <w:rsid w:val="001F317C"/>
    <w:rsid w:val="001F3565"/>
    <w:rsid w:val="001F3702"/>
    <w:rsid w:val="001F3B3B"/>
    <w:rsid w:val="001F3E1A"/>
    <w:rsid w:val="001F3E32"/>
    <w:rsid w:val="001F4DAA"/>
    <w:rsid w:val="001F528F"/>
    <w:rsid w:val="001F54B5"/>
    <w:rsid w:val="001F5FAD"/>
    <w:rsid w:val="001F620D"/>
    <w:rsid w:val="001F6D70"/>
    <w:rsid w:val="001F71E8"/>
    <w:rsid w:val="001F71F0"/>
    <w:rsid w:val="001F7388"/>
    <w:rsid w:val="001F7D90"/>
    <w:rsid w:val="001F7E06"/>
    <w:rsid w:val="002009B8"/>
    <w:rsid w:val="002010CB"/>
    <w:rsid w:val="00201194"/>
    <w:rsid w:val="0020147C"/>
    <w:rsid w:val="00201894"/>
    <w:rsid w:val="002018DE"/>
    <w:rsid w:val="002019CF"/>
    <w:rsid w:val="00201A51"/>
    <w:rsid w:val="00201DD7"/>
    <w:rsid w:val="0020275C"/>
    <w:rsid w:val="002033CA"/>
    <w:rsid w:val="00203B7E"/>
    <w:rsid w:val="00203C35"/>
    <w:rsid w:val="00203FE2"/>
    <w:rsid w:val="002042E4"/>
    <w:rsid w:val="0020431B"/>
    <w:rsid w:val="00204564"/>
    <w:rsid w:val="002048C1"/>
    <w:rsid w:val="00204CDE"/>
    <w:rsid w:val="00205185"/>
    <w:rsid w:val="00205A63"/>
    <w:rsid w:val="00205C79"/>
    <w:rsid w:val="0020687D"/>
    <w:rsid w:val="00207168"/>
    <w:rsid w:val="00207856"/>
    <w:rsid w:val="002100C8"/>
    <w:rsid w:val="00210A51"/>
    <w:rsid w:val="00210B2B"/>
    <w:rsid w:val="00211487"/>
    <w:rsid w:val="002117F2"/>
    <w:rsid w:val="002119BB"/>
    <w:rsid w:val="00212536"/>
    <w:rsid w:val="00212868"/>
    <w:rsid w:val="00212BE6"/>
    <w:rsid w:val="002133B8"/>
    <w:rsid w:val="002138FB"/>
    <w:rsid w:val="0021395E"/>
    <w:rsid w:val="00213E57"/>
    <w:rsid w:val="00214D55"/>
    <w:rsid w:val="00215190"/>
    <w:rsid w:val="00215A5E"/>
    <w:rsid w:val="00215CEE"/>
    <w:rsid w:val="00215EB8"/>
    <w:rsid w:val="00216186"/>
    <w:rsid w:val="002171F4"/>
    <w:rsid w:val="0021725D"/>
    <w:rsid w:val="00217270"/>
    <w:rsid w:val="002173DC"/>
    <w:rsid w:val="00217B3F"/>
    <w:rsid w:val="00217BE7"/>
    <w:rsid w:val="00217E76"/>
    <w:rsid w:val="00220DE5"/>
    <w:rsid w:val="00220FB0"/>
    <w:rsid w:val="00221E37"/>
    <w:rsid w:val="00222024"/>
    <w:rsid w:val="00222117"/>
    <w:rsid w:val="00222B8C"/>
    <w:rsid w:val="00223849"/>
    <w:rsid w:val="002238CD"/>
    <w:rsid w:val="00223B68"/>
    <w:rsid w:val="00225554"/>
    <w:rsid w:val="002257BC"/>
    <w:rsid w:val="00225A3F"/>
    <w:rsid w:val="00225FA4"/>
    <w:rsid w:val="00226335"/>
    <w:rsid w:val="0022687C"/>
    <w:rsid w:val="00226B4C"/>
    <w:rsid w:val="00227E1D"/>
    <w:rsid w:val="00230792"/>
    <w:rsid w:val="00230997"/>
    <w:rsid w:val="00230AB3"/>
    <w:rsid w:val="00230B4F"/>
    <w:rsid w:val="0023173C"/>
    <w:rsid w:val="00231D2E"/>
    <w:rsid w:val="002322CF"/>
    <w:rsid w:val="00232414"/>
    <w:rsid w:val="00233E8B"/>
    <w:rsid w:val="002340C8"/>
    <w:rsid w:val="0023485A"/>
    <w:rsid w:val="00234F1E"/>
    <w:rsid w:val="00235323"/>
    <w:rsid w:val="0023551D"/>
    <w:rsid w:val="00235A05"/>
    <w:rsid w:val="00236566"/>
    <w:rsid w:val="00236579"/>
    <w:rsid w:val="002365C0"/>
    <w:rsid w:val="002366C4"/>
    <w:rsid w:val="00236CA8"/>
    <w:rsid w:val="00236D17"/>
    <w:rsid w:val="0023756F"/>
    <w:rsid w:val="00240478"/>
    <w:rsid w:val="00240592"/>
    <w:rsid w:val="00240F2C"/>
    <w:rsid w:val="002413FE"/>
    <w:rsid w:val="0024152D"/>
    <w:rsid w:val="00241D1F"/>
    <w:rsid w:val="002420B6"/>
    <w:rsid w:val="002423FB"/>
    <w:rsid w:val="00242515"/>
    <w:rsid w:val="00242809"/>
    <w:rsid w:val="00242ABE"/>
    <w:rsid w:val="00242B76"/>
    <w:rsid w:val="00242EC8"/>
    <w:rsid w:val="002433B8"/>
    <w:rsid w:val="00243A9B"/>
    <w:rsid w:val="0024481B"/>
    <w:rsid w:val="00244D99"/>
    <w:rsid w:val="00245047"/>
    <w:rsid w:val="00245220"/>
    <w:rsid w:val="0024558B"/>
    <w:rsid w:val="00245720"/>
    <w:rsid w:val="00245749"/>
    <w:rsid w:val="002459E0"/>
    <w:rsid w:val="00246560"/>
    <w:rsid w:val="002472E8"/>
    <w:rsid w:val="0024770A"/>
    <w:rsid w:val="002479EA"/>
    <w:rsid w:val="00247ED9"/>
    <w:rsid w:val="00250BA6"/>
    <w:rsid w:val="0025167A"/>
    <w:rsid w:val="00251CAA"/>
    <w:rsid w:val="002521E7"/>
    <w:rsid w:val="00252474"/>
    <w:rsid w:val="002526D0"/>
    <w:rsid w:val="00252AD6"/>
    <w:rsid w:val="00253157"/>
    <w:rsid w:val="002537FB"/>
    <w:rsid w:val="002539E2"/>
    <w:rsid w:val="00254078"/>
    <w:rsid w:val="002540D1"/>
    <w:rsid w:val="0025433A"/>
    <w:rsid w:val="00254AD6"/>
    <w:rsid w:val="00255D03"/>
    <w:rsid w:val="00255D37"/>
    <w:rsid w:val="002565C5"/>
    <w:rsid w:val="002575E3"/>
    <w:rsid w:val="002576A5"/>
    <w:rsid w:val="002578FD"/>
    <w:rsid w:val="0026031D"/>
    <w:rsid w:val="002609F9"/>
    <w:rsid w:val="00261AC1"/>
    <w:rsid w:val="00261F0F"/>
    <w:rsid w:val="00261FC0"/>
    <w:rsid w:val="002622EF"/>
    <w:rsid w:val="00262993"/>
    <w:rsid w:val="00262C8F"/>
    <w:rsid w:val="0026313B"/>
    <w:rsid w:val="00263279"/>
    <w:rsid w:val="002633F6"/>
    <w:rsid w:val="0026348D"/>
    <w:rsid w:val="00263500"/>
    <w:rsid w:val="00263741"/>
    <w:rsid w:val="002638AD"/>
    <w:rsid w:val="00263BE8"/>
    <w:rsid w:val="00263ED7"/>
    <w:rsid w:val="00264279"/>
    <w:rsid w:val="0026460A"/>
    <w:rsid w:val="00264BBE"/>
    <w:rsid w:val="00264DF9"/>
    <w:rsid w:val="002654DA"/>
    <w:rsid w:val="0026564C"/>
    <w:rsid w:val="00265816"/>
    <w:rsid w:val="002659D6"/>
    <w:rsid w:val="00265D02"/>
    <w:rsid w:val="00265E99"/>
    <w:rsid w:val="002662FB"/>
    <w:rsid w:val="00266514"/>
    <w:rsid w:val="0026656F"/>
    <w:rsid w:val="002669A4"/>
    <w:rsid w:val="00266A5E"/>
    <w:rsid w:val="002671BE"/>
    <w:rsid w:val="002674AB"/>
    <w:rsid w:val="00267519"/>
    <w:rsid w:val="00270161"/>
    <w:rsid w:val="00270430"/>
    <w:rsid w:val="002711D3"/>
    <w:rsid w:val="002716FE"/>
    <w:rsid w:val="0027194E"/>
    <w:rsid w:val="002726D8"/>
    <w:rsid w:val="00272ED3"/>
    <w:rsid w:val="002730FB"/>
    <w:rsid w:val="0027329D"/>
    <w:rsid w:val="002734AA"/>
    <w:rsid w:val="002734F8"/>
    <w:rsid w:val="00275399"/>
    <w:rsid w:val="002762FB"/>
    <w:rsid w:val="00276312"/>
    <w:rsid w:val="00276EAF"/>
    <w:rsid w:val="002775EF"/>
    <w:rsid w:val="002777DF"/>
    <w:rsid w:val="00280563"/>
    <w:rsid w:val="002805F8"/>
    <w:rsid w:val="002805FB"/>
    <w:rsid w:val="0028087B"/>
    <w:rsid w:val="002813D6"/>
    <w:rsid w:val="00281569"/>
    <w:rsid w:val="00282D89"/>
    <w:rsid w:val="00282E26"/>
    <w:rsid w:val="00283661"/>
    <w:rsid w:val="00283726"/>
    <w:rsid w:val="0028399D"/>
    <w:rsid w:val="00283B4C"/>
    <w:rsid w:val="00283DFB"/>
    <w:rsid w:val="00283F8D"/>
    <w:rsid w:val="00284510"/>
    <w:rsid w:val="00284B51"/>
    <w:rsid w:val="00284E7A"/>
    <w:rsid w:val="00284F42"/>
    <w:rsid w:val="00284FD8"/>
    <w:rsid w:val="00285456"/>
    <w:rsid w:val="002856CF"/>
    <w:rsid w:val="002860F1"/>
    <w:rsid w:val="00286AAA"/>
    <w:rsid w:val="002877B3"/>
    <w:rsid w:val="00287D9B"/>
    <w:rsid w:val="00290732"/>
    <w:rsid w:val="0029126A"/>
    <w:rsid w:val="00291306"/>
    <w:rsid w:val="00291502"/>
    <w:rsid w:val="0029169C"/>
    <w:rsid w:val="00291A0F"/>
    <w:rsid w:val="00291E22"/>
    <w:rsid w:val="0029249A"/>
    <w:rsid w:val="0029253A"/>
    <w:rsid w:val="00292D5A"/>
    <w:rsid w:val="0029407E"/>
    <w:rsid w:val="0029471E"/>
    <w:rsid w:val="0029483C"/>
    <w:rsid w:val="00294DE9"/>
    <w:rsid w:val="00294F0D"/>
    <w:rsid w:val="002952DB"/>
    <w:rsid w:val="00295613"/>
    <w:rsid w:val="002957E4"/>
    <w:rsid w:val="00297058"/>
    <w:rsid w:val="0029743C"/>
    <w:rsid w:val="00297472"/>
    <w:rsid w:val="002979BF"/>
    <w:rsid w:val="00297C37"/>
    <w:rsid w:val="002A051A"/>
    <w:rsid w:val="002A0D29"/>
    <w:rsid w:val="002A1308"/>
    <w:rsid w:val="002A174F"/>
    <w:rsid w:val="002A189D"/>
    <w:rsid w:val="002A1FF9"/>
    <w:rsid w:val="002A2314"/>
    <w:rsid w:val="002A23BA"/>
    <w:rsid w:val="002A3CCD"/>
    <w:rsid w:val="002A461C"/>
    <w:rsid w:val="002A4710"/>
    <w:rsid w:val="002A471A"/>
    <w:rsid w:val="002A47BC"/>
    <w:rsid w:val="002A47F5"/>
    <w:rsid w:val="002A4840"/>
    <w:rsid w:val="002A4B74"/>
    <w:rsid w:val="002A5A34"/>
    <w:rsid w:val="002A5E4B"/>
    <w:rsid w:val="002A6860"/>
    <w:rsid w:val="002A68E4"/>
    <w:rsid w:val="002A6BB1"/>
    <w:rsid w:val="002A70FE"/>
    <w:rsid w:val="002A7D3D"/>
    <w:rsid w:val="002B0270"/>
    <w:rsid w:val="002B06E0"/>
    <w:rsid w:val="002B0B88"/>
    <w:rsid w:val="002B1106"/>
    <w:rsid w:val="002B187B"/>
    <w:rsid w:val="002B1C8C"/>
    <w:rsid w:val="002B2A9C"/>
    <w:rsid w:val="002B2BB5"/>
    <w:rsid w:val="002B2C87"/>
    <w:rsid w:val="002B2EC0"/>
    <w:rsid w:val="002B3573"/>
    <w:rsid w:val="002B3593"/>
    <w:rsid w:val="002B373C"/>
    <w:rsid w:val="002B445F"/>
    <w:rsid w:val="002B4B74"/>
    <w:rsid w:val="002B5DE7"/>
    <w:rsid w:val="002B62C8"/>
    <w:rsid w:val="002B62D7"/>
    <w:rsid w:val="002B6DDE"/>
    <w:rsid w:val="002B76E0"/>
    <w:rsid w:val="002B7869"/>
    <w:rsid w:val="002B7C47"/>
    <w:rsid w:val="002C002B"/>
    <w:rsid w:val="002C00DB"/>
    <w:rsid w:val="002C0491"/>
    <w:rsid w:val="002C1374"/>
    <w:rsid w:val="002C160B"/>
    <w:rsid w:val="002C2B1B"/>
    <w:rsid w:val="002C2EE4"/>
    <w:rsid w:val="002C37C8"/>
    <w:rsid w:val="002C39DC"/>
    <w:rsid w:val="002C4655"/>
    <w:rsid w:val="002C46E0"/>
    <w:rsid w:val="002C534D"/>
    <w:rsid w:val="002C5CDE"/>
    <w:rsid w:val="002C5E9C"/>
    <w:rsid w:val="002C654E"/>
    <w:rsid w:val="002C65B0"/>
    <w:rsid w:val="002C677C"/>
    <w:rsid w:val="002C69C4"/>
    <w:rsid w:val="002C6ABA"/>
    <w:rsid w:val="002C6D7F"/>
    <w:rsid w:val="002C7554"/>
    <w:rsid w:val="002D03A8"/>
    <w:rsid w:val="002D1105"/>
    <w:rsid w:val="002D12C7"/>
    <w:rsid w:val="002D1BAC"/>
    <w:rsid w:val="002D1BB5"/>
    <w:rsid w:val="002D2431"/>
    <w:rsid w:val="002D25EB"/>
    <w:rsid w:val="002D2F66"/>
    <w:rsid w:val="002D31E9"/>
    <w:rsid w:val="002D3C6F"/>
    <w:rsid w:val="002D3DDC"/>
    <w:rsid w:val="002D4293"/>
    <w:rsid w:val="002D43BE"/>
    <w:rsid w:val="002D45BD"/>
    <w:rsid w:val="002D4E52"/>
    <w:rsid w:val="002D50D3"/>
    <w:rsid w:val="002D5C08"/>
    <w:rsid w:val="002D5CBD"/>
    <w:rsid w:val="002D5EC6"/>
    <w:rsid w:val="002D6400"/>
    <w:rsid w:val="002D6626"/>
    <w:rsid w:val="002D73C7"/>
    <w:rsid w:val="002D7DB5"/>
    <w:rsid w:val="002E0171"/>
    <w:rsid w:val="002E0432"/>
    <w:rsid w:val="002E0530"/>
    <w:rsid w:val="002E1411"/>
    <w:rsid w:val="002E29AF"/>
    <w:rsid w:val="002E320F"/>
    <w:rsid w:val="002E34BE"/>
    <w:rsid w:val="002E3E65"/>
    <w:rsid w:val="002E3F82"/>
    <w:rsid w:val="002E43B7"/>
    <w:rsid w:val="002E4C5E"/>
    <w:rsid w:val="002E5F28"/>
    <w:rsid w:val="002E6204"/>
    <w:rsid w:val="002E7064"/>
    <w:rsid w:val="002E710A"/>
    <w:rsid w:val="002E7884"/>
    <w:rsid w:val="002F0BEE"/>
    <w:rsid w:val="002F1565"/>
    <w:rsid w:val="002F1CC4"/>
    <w:rsid w:val="002F1E6C"/>
    <w:rsid w:val="002F1EE1"/>
    <w:rsid w:val="002F23B0"/>
    <w:rsid w:val="002F24DF"/>
    <w:rsid w:val="002F3776"/>
    <w:rsid w:val="002F3E9A"/>
    <w:rsid w:val="002F42E0"/>
    <w:rsid w:val="002F483E"/>
    <w:rsid w:val="002F4A18"/>
    <w:rsid w:val="002F4AAB"/>
    <w:rsid w:val="002F5D8D"/>
    <w:rsid w:val="002F6544"/>
    <w:rsid w:val="002F662A"/>
    <w:rsid w:val="002F67BE"/>
    <w:rsid w:val="002F68EF"/>
    <w:rsid w:val="002F6BD5"/>
    <w:rsid w:val="002F7413"/>
    <w:rsid w:val="0030050F"/>
    <w:rsid w:val="00301A3A"/>
    <w:rsid w:val="00301EBA"/>
    <w:rsid w:val="00302B13"/>
    <w:rsid w:val="00303C7B"/>
    <w:rsid w:val="00303D66"/>
    <w:rsid w:val="00303F44"/>
    <w:rsid w:val="00304969"/>
    <w:rsid w:val="00304C7D"/>
    <w:rsid w:val="00305250"/>
    <w:rsid w:val="0030551C"/>
    <w:rsid w:val="00305C71"/>
    <w:rsid w:val="00306385"/>
    <w:rsid w:val="00306430"/>
    <w:rsid w:val="0030649A"/>
    <w:rsid w:val="00306F30"/>
    <w:rsid w:val="003103D6"/>
    <w:rsid w:val="00310811"/>
    <w:rsid w:val="003110F0"/>
    <w:rsid w:val="00311525"/>
    <w:rsid w:val="003117A5"/>
    <w:rsid w:val="0031193E"/>
    <w:rsid w:val="00311B7E"/>
    <w:rsid w:val="00311DF7"/>
    <w:rsid w:val="003126E2"/>
    <w:rsid w:val="00312839"/>
    <w:rsid w:val="00312978"/>
    <w:rsid w:val="003133CD"/>
    <w:rsid w:val="00313588"/>
    <w:rsid w:val="003135AB"/>
    <w:rsid w:val="00313C4F"/>
    <w:rsid w:val="00313D3B"/>
    <w:rsid w:val="003143A1"/>
    <w:rsid w:val="003144A6"/>
    <w:rsid w:val="003147DB"/>
    <w:rsid w:val="00314C3C"/>
    <w:rsid w:val="00314C96"/>
    <w:rsid w:val="00314DC3"/>
    <w:rsid w:val="00314FFF"/>
    <w:rsid w:val="00315051"/>
    <w:rsid w:val="0031542B"/>
    <w:rsid w:val="00315862"/>
    <w:rsid w:val="0031718A"/>
    <w:rsid w:val="00317632"/>
    <w:rsid w:val="0031774A"/>
    <w:rsid w:val="003178C7"/>
    <w:rsid w:val="00317A4D"/>
    <w:rsid w:val="00320808"/>
    <w:rsid w:val="00320993"/>
    <w:rsid w:val="00320D89"/>
    <w:rsid w:val="0032144B"/>
    <w:rsid w:val="003215A3"/>
    <w:rsid w:val="003215AA"/>
    <w:rsid w:val="00321E56"/>
    <w:rsid w:val="00322700"/>
    <w:rsid w:val="003228F8"/>
    <w:rsid w:val="00322BB4"/>
    <w:rsid w:val="00322D44"/>
    <w:rsid w:val="00322D45"/>
    <w:rsid w:val="00322F3E"/>
    <w:rsid w:val="00323AC1"/>
    <w:rsid w:val="00324537"/>
    <w:rsid w:val="00324609"/>
    <w:rsid w:val="00324F52"/>
    <w:rsid w:val="00325544"/>
    <w:rsid w:val="00325729"/>
    <w:rsid w:val="00325931"/>
    <w:rsid w:val="00325C01"/>
    <w:rsid w:val="00326080"/>
    <w:rsid w:val="00326088"/>
    <w:rsid w:val="0032700A"/>
    <w:rsid w:val="00327BAD"/>
    <w:rsid w:val="00327E64"/>
    <w:rsid w:val="003302A6"/>
    <w:rsid w:val="00330417"/>
    <w:rsid w:val="003308E3"/>
    <w:rsid w:val="00330DA7"/>
    <w:rsid w:val="0033103B"/>
    <w:rsid w:val="0033247B"/>
    <w:rsid w:val="003328F7"/>
    <w:rsid w:val="003332A4"/>
    <w:rsid w:val="00333912"/>
    <w:rsid w:val="00333D77"/>
    <w:rsid w:val="00334036"/>
    <w:rsid w:val="00334B41"/>
    <w:rsid w:val="00334B6F"/>
    <w:rsid w:val="00334C41"/>
    <w:rsid w:val="003350E6"/>
    <w:rsid w:val="003358B9"/>
    <w:rsid w:val="00335C9E"/>
    <w:rsid w:val="003361B5"/>
    <w:rsid w:val="00336335"/>
    <w:rsid w:val="00336787"/>
    <w:rsid w:val="00336C95"/>
    <w:rsid w:val="003375AD"/>
    <w:rsid w:val="0033787E"/>
    <w:rsid w:val="003378C6"/>
    <w:rsid w:val="00337A38"/>
    <w:rsid w:val="00337DDA"/>
    <w:rsid w:val="003407B2"/>
    <w:rsid w:val="00340C21"/>
    <w:rsid w:val="00341F6C"/>
    <w:rsid w:val="0034233F"/>
    <w:rsid w:val="003428CC"/>
    <w:rsid w:val="0034324D"/>
    <w:rsid w:val="0034410F"/>
    <w:rsid w:val="003447F4"/>
    <w:rsid w:val="00344CB1"/>
    <w:rsid w:val="00344E7A"/>
    <w:rsid w:val="003452C1"/>
    <w:rsid w:val="0034545F"/>
    <w:rsid w:val="0034552F"/>
    <w:rsid w:val="00345785"/>
    <w:rsid w:val="00346176"/>
    <w:rsid w:val="0034632F"/>
    <w:rsid w:val="003468DB"/>
    <w:rsid w:val="00346A6D"/>
    <w:rsid w:val="00347344"/>
    <w:rsid w:val="00347B3B"/>
    <w:rsid w:val="00347BC2"/>
    <w:rsid w:val="00347F83"/>
    <w:rsid w:val="00350234"/>
    <w:rsid w:val="003502A3"/>
    <w:rsid w:val="0035072C"/>
    <w:rsid w:val="00350DB1"/>
    <w:rsid w:val="0035176B"/>
    <w:rsid w:val="00351C2E"/>
    <w:rsid w:val="0035214E"/>
    <w:rsid w:val="0035274D"/>
    <w:rsid w:val="00352C19"/>
    <w:rsid w:val="00352CBB"/>
    <w:rsid w:val="00352F38"/>
    <w:rsid w:val="003533AE"/>
    <w:rsid w:val="00353401"/>
    <w:rsid w:val="003540DD"/>
    <w:rsid w:val="003541B9"/>
    <w:rsid w:val="003548A6"/>
    <w:rsid w:val="00355910"/>
    <w:rsid w:val="00355C84"/>
    <w:rsid w:val="003565DE"/>
    <w:rsid w:val="00356808"/>
    <w:rsid w:val="00356A6B"/>
    <w:rsid w:val="00356DC6"/>
    <w:rsid w:val="0035706F"/>
    <w:rsid w:val="0035750F"/>
    <w:rsid w:val="003601C0"/>
    <w:rsid w:val="00360D89"/>
    <w:rsid w:val="00360DE9"/>
    <w:rsid w:val="00361237"/>
    <w:rsid w:val="00361456"/>
    <w:rsid w:val="00361956"/>
    <w:rsid w:val="00361D76"/>
    <w:rsid w:val="0036262A"/>
    <w:rsid w:val="00362972"/>
    <w:rsid w:val="0036298D"/>
    <w:rsid w:val="00362B6B"/>
    <w:rsid w:val="0036344F"/>
    <w:rsid w:val="003635B5"/>
    <w:rsid w:val="00363FCA"/>
    <w:rsid w:val="00364653"/>
    <w:rsid w:val="00364821"/>
    <w:rsid w:val="003649B4"/>
    <w:rsid w:val="00365313"/>
    <w:rsid w:val="003658C5"/>
    <w:rsid w:val="0036590F"/>
    <w:rsid w:val="0036689C"/>
    <w:rsid w:val="00366F93"/>
    <w:rsid w:val="00367CFA"/>
    <w:rsid w:val="00367E5C"/>
    <w:rsid w:val="00370278"/>
    <w:rsid w:val="00370620"/>
    <w:rsid w:val="0037132B"/>
    <w:rsid w:val="00372EF4"/>
    <w:rsid w:val="00373A3E"/>
    <w:rsid w:val="00373F0F"/>
    <w:rsid w:val="0037438E"/>
    <w:rsid w:val="0037461E"/>
    <w:rsid w:val="00374733"/>
    <w:rsid w:val="003747E0"/>
    <w:rsid w:val="003755E8"/>
    <w:rsid w:val="0037573E"/>
    <w:rsid w:val="00375955"/>
    <w:rsid w:val="00375A81"/>
    <w:rsid w:val="003760C8"/>
    <w:rsid w:val="00376660"/>
    <w:rsid w:val="003766E6"/>
    <w:rsid w:val="00376C28"/>
    <w:rsid w:val="00377B41"/>
    <w:rsid w:val="00377B64"/>
    <w:rsid w:val="00380296"/>
    <w:rsid w:val="00380962"/>
    <w:rsid w:val="00380C0E"/>
    <w:rsid w:val="003813A7"/>
    <w:rsid w:val="0038141C"/>
    <w:rsid w:val="0038141F"/>
    <w:rsid w:val="003814E1"/>
    <w:rsid w:val="00381536"/>
    <w:rsid w:val="0038165D"/>
    <w:rsid w:val="00381A3B"/>
    <w:rsid w:val="00382360"/>
    <w:rsid w:val="003824E0"/>
    <w:rsid w:val="00382A7A"/>
    <w:rsid w:val="003832C8"/>
    <w:rsid w:val="003834B3"/>
    <w:rsid w:val="00384200"/>
    <w:rsid w:val="00384324"/>
    <w:rsid w:val="0038452B"/>
    <w:rsid w:val="00385754"/>
    <w:rsid w:val="003857D2"/>
    <w:rsid w:val="003859C1"/>
    <w:rsid w:val="00385AC8"/>
    <w:rsid w:val="00386203"/>
    <w:rsid w:val="00387059"/>
    <w:rsid w:val="00387BB4"/>
    <w:rsid w:val="00387E08"/>
    <w:rsid w:val="003900AA"/>
    <w:rsid w:val="00390471"/>
    <w:rsid w:val="00390617"/>
    <w:rsid w:val="0039107A"/>
    <w:rsid w:val="00391DF5"/>
    <w:rsid w:val="00391F60"/>
    <w:rsid w:val="00392916"/>
    <w:rsid w:val="00392BC7"/>
    <w:rsid w:val="00392BDF"/>
    <w:rsid w:val="00392D45"/>
    <w:rsid w:val="00392E7E"/>
    <w:rsid w:val="00392FDB"/>
    <w:rsid w:val="0039384C"/>
    <w:rsid w:val="00393A51"/>
    <w:rsid w:val="00393DD1"/>
    <w:rsid w:val="00393FBF"/>
    <w:rsid w:val="003942E6"/>
    <w:rsid w:val="003948B2"/>
    <w:rsid w:val="00395083"/>
    <w:rsid w:val="003950C8"/>
    <w:rsid w:val="00395608"/>
    <w:rsid w:val="00395989"/>
    <w:rsid w:val="00396388"/>
    <w:rsid w:val="003968CE"/>
    <w:rsid w:val="00397ABD"/>
    <w:rsid w:val="003A09A0"/>
    <w:rsid w:val="003A0CB4"/>
    <w:rsid w:val="003A0D03"/>
    <w:rsid w:val="003A15F5"/>
    <w:rsid w:val="003A1D2C"/>
    <w:rsid w:val="003A2896"/>
    <w:rsid w:val="003A39EB"/>
    <w:rsid w:val="003A417B"/>
    <w:rsid w:val="003A43AF"/>
    <w:rsid w:val="003A4573"/>
    <w:rsid w:val="003A45C8"/>
    <w:rsid w:val="003A4949"/>
    <w:rsid w:val="003A4C0F"/>
    <w:rsid w:val="003A5224"/>
    <w:rsid w:val="003A5261"/>
    <w:rsid w:val="003A530A"/>
    <w:rsid w:val="003A532F"/>
    <w:rsid w:val="003A551A"/>
    <w:rsid w:val="003A5F92"/>
    <w:rsid w:val="003A6527"/>
    <w:rsid w:val="003A692E"/>
    <w:rsid w:val="003A6A68"/>
    <w:rsid w:val="003A7383"/>
    <w:rsid w:val="003A775E"/>
    <w:rsid w:val="003B04E5"/>
    <w:rsid w:val="003B0D38"/>
    <w:rsid w:val="003B1118"/>
    <w:rsid w:val="003B1347"/>
    <w:rsid w:val="003B13FA"/>
    <w:rsid w:val="003B19A8"/>
    <w:rsid w:val="003B1C7E"/>
    <w:rsid w:val="003B21D8"/>
    <w:rsid w:val="003B253C"/>
    <w:rsid w:val="003B30EB"/>
    <w:rsid w:val="003B31CE"/>
    <w:rsid w:val="003B3893"/>
    <w:rsid w:val="003B3C95"/>
    <w:rsid w:val="003B4355"/>
    <w:rsid w:val="003B48DB"/>
    <w:rsid w:val="003B5030"/>
    <w:rsid w:val="003B574F"/>
    <w:rsid w:val="003B5D2D"/>
    <w:rsid w:val="003B5E4F"/>
    <w:rsid w:val="003B6387"/>
    <w:rsid w:val="003B6632"/>
    <w:rsid w:val="003B6ADD"/>
    <w:rsid w:val="003B6EEA"/>
    <w:rsid w:val="003B7024"/>
    <w:rsid w:val="003B79BA"/>
    <w:rsid w:val="003B7B31"/>
    <w:rsid w:val="003B7F3F"/>
    <w:rsid w:val="003C0320"/>
    <w:rsid w:val="003C04B3"/>
    <w:rsid w:val="003C0570"/>
    <w:rsid w:val="003C05E4"/>
    <w:rsid w:val="003C0889"/>
    <w:rsid w:val="003C08D3"/>
    <w:rsid w:val="003C1615"/>
    <w:rsid w:val="003C197B"/>
    <w:rsid w:val="003C28BD"/>
    <w:rsid w:val="003C2995"/>
    <w:rsid w:val="003C3860"/>
    <w:rsid w:val="003C397E"/>
    <w:rsid w:val="003C3C52"/>
    <w:rsid w:val="003C531B"/>
    <w:rsid w:val="003C5A68"/>
    <w:rsid w:val="003C5C84"/>
    <w:rsid w:val="003C6364"/>
    <w:rsid w:val="003C6433"/>
    <w:rsid w:val="003C682C"/>
    <w:rsid w:val="003C68AC"/>
    <w:rsid w:val="003C6F77"/>
    <w:rsid w:val="003C709F"/>
    <w:rsid w:val="003C771E"/>
    <w:rsid w:val="003C7A76"/>
    <w:rsid w:val="003C7C79"/>
    <w:rsid w:val="003D037F"/>
    <w:rsid w:val="003D0ABD"/>
    <w:rsid w:val="003D0C92"/>
    <w:rsid w:val="003D0FB2"/>
    <w:rsid w:val="003D185E"/>
    <w:rsid w:val="003D1F94"/>
    <w:rsid w:val="003D274C"/>
    <w:rsid w:val="003D2A9D"/>
    <w:rsid w:val="003D312E"/>
    <w:rsid w:val="003D3A52"/>
    <w:rsid w:val="003D3CEB"/>
    <w:rsid w:val="003D3E16"/>
    <w:rsid w:val="003D41F1"/>
    <w:rsid w:val="003D4AB1"/>
    <w:rsid w:val="003D5DBF"/>
    <w:rsid w:val="003D629E"/>
    <w:rsid w:val="003D67CA"/>
    <w:rsid w:val="003D6CE5"/>
    <w:rsid w:val="003D6D0D"/>
    <w:rsid w:val="003D73D3"/>
    <w:rsid w:val="003D765F"/>
    <w:rsid w:val="003D7AEA"/>
    <w:rsid w:val="003D7CB2"/>
    <w:rsid w:val="003E050C"/>
    <w:rsid w:val="003E081B"/>
    <w:rsid w:val="003E10FD"/>
    <w:rsid w:val="003E11BE"/>
    <w:rsid w:val="003E2FC8"/>
    <w:rsid w:val="003E316B"/>
    <w:rsid w:val="003E387B"/>
    <w:rsid w:val="003E4454"/>
    <w:rsid w:val="003E4578"/>
    <w:rsid w:val="003E57BD"/>
    <w:rsid w:val="003E643C"/>
    <w:rsid w:val="003E645A"/>
    <w:rsid w:val="003E693C"/>
    <w:rsid w:val="003E6A44"/>
    <w:rsid w:val="003E6B7F"/>
    <w:rsid w:val="003E6CB9"/>
    <w:rsid w:val="003E6F64"/>
    <w:rsid w:val="003E70F6"/>
    <w:rsid w:val="003F048C"/>
    <w:rsid w:val="003F0717"/>
    <w:rsid w:val="003F0767"/>
    <w:rsid w:val="003F0780"/>
    <w:rsid w:val="003F08B9"/>
    <w:rsid w:val="003F1008"/>
    <w:rsid w:val="003F196C"/>
    <w:rsid w:val="003F19EE"/>
    <w:rsid w:val="003F20C9"/>
    <w:rsid w:val="003F2512"/>
    <w:rsid w:val="003F25AA"/>
    <w:rsid w:val="003F2D9A"/>
    <w:rsid w:val="003F2FAE"/>
    <w:rsid w:val="003F315E"/>
    <w:rsid w:val="003F332F"/>
    <w:rsid w:val="003F359E"/>
    <w:rsid w:val="003F436F"/>
    <w:rsid w:val="003F56B7"/>
    <w:rsid w:val="003F5A03"/>
    <w:rsid w:val="003F6268"/>
    <w:rsid w:val="003F6E94"/>
    <w:rsid w:val="003F708B"/>
    <w:rsid w:val="003F76D4"/>
    <w:rsid w:val="00400304"/>
    <w:rsid w:val="004013C5"/>
    <w:rsid w:val="00401E3E"/>
    <w:rsid w:val="00401F37"/>
    <w:rsid w:val="00402200"/>
    <w:rsid w:val="00402607"/>
    <w:rsid w:val="00402753"/>
    <w:rsid w:val="004029DA"/>
    <w:rsid w:val="00402A06"/>
    <w:rsid w:val="00402E9C"/>
    <w:rsid w:val="00403369"/>
    <w:rsid w:val="004033D7"/>
    <w:rsid w:val="0040361B"/>
    <w:rsid w:val="00403B46"/>
    <w:rsid w:val="00403B87"/>
    <w:rsid w:val="004042E5"/>
    <w:rsid w:val="00404B20"/>
    <w:rsid w:val="00404B5C"/>
    <w:rsid w:val="00404BE8"/>
    <w:rsid w:val="00405294"/>
    <w:rsid w:val="004053F5"/>
    <w:rsid w:val="0040585B"/>
    <w:rsid w:val="00405C3F"/>
    <w:rsid w:val="0040617F"/>
    <w:rsid w:val="004065FF"/>
    <w:rsid w:val="0040676B"/>
    <w:rsid w:val="0040676D"/>
    <w:rsid w:val="00406AB4"/>
    <w:rsid w:val="00406CAC"/>
    <w:rsid w:val="00407836"/>
    <w:rsid w:val="00410CAF"/>
    <w:rsid w:val="004119C4"/>
    <w:rsid w:val="00411AF5"/>
    <w:rsid w:val="00411C47"/>
    <w:rsid w:val="00411F39"/>
    <w:rsid w:val="00412442"/>
    <w:rsid w:val="00412973"/>
    <w:rsid w:val="00412D27"/>
    <w:rsid w:val="00412DB3"/>
    <w:rsid w:val="004135ED"/>
    <w:rsid w:val="00413EBB"/>
    <w:rsid w:val="00414A3B"/>
    <w:rsid w:val="00414F14"/>
    <w:rsid w:val="0041502F"/>
    <w:rsid w:val="0041582E"/>
    <w:rsid w:val="00416010"/>
    <w:rsid w:val="004162A8"/>
    <w:rsid w:val="0041684D"/>
    <w:rsid w:val="00416C74"/>
    <w:rsid w:val="00416E2D"/>
    <w:rsid w:val="00417180"/>
    <w:rsid w:val="00417440"/>
    <w:rsid w:val="00417562"/>
    <w:rsid w:val="004177E2"/>
    <w:rsid w:val="004201BA"/>
    <w:rsid w:val="00420B95"/>
    <w:rsid w:val="00421406"/>
    <w:rsid w:val="00421A8F"/>
    <w:rsid w:val="00422055"/>
    <w:rsid w:val="00422695"/>
    <w:rsid w:val="00422B12"/>
    <w:rsid w:val="00422F4B"/>
    <w:rsid w:val="004230DA"/>
    <w:rsid w:val="0042333E"/>
    <w:rsid w:val="004237B5"/>
    <w:rsid w:val="00424477"/>
    <w:rsid w:val="00424AB3"/>
    <w:rsid w:val="00424BEC"/>
    <w:rsid w:val="00424CEF"/>
    <w:rsid w:val="00425013"/>
    <w:rsid w:val="004250D8"/>
    <w:rsid w:val="004259BC"/>
    <w:rsid w:val="00425ED1"/>
    <w:rsid w:val="00425F77"/>
    <w:rsid w:val="00426359"/>
    <w:rsid w:val="00426B47"/>
    <w:rsid w:val="00427878"/>
    <w:rsid w:val="00427CD1"/>
    <w:rsid w:val="00430092"/>
    <w:rsid w:val="00430170"/>
    <w:rsid w:val="00430171"/>
    <w:rsid w:val="004302AD"/>
    <w:rsid w:val="004308B4"/>
    <w:rsid w:val="004308BA"/>
    <w:rsid w:val="00430B83"/>
    <w:rsid w:val="004316C8"/>
    <w:rsid w:val="004318EF"/>
    <w:rsid w:val="0043197D"/>
    <w:rsid w:val="00431A2B"/>
    <w:rsid w:val="00432285"/>
    <w:rsid w:val="00432A7A"/>
    <w:rsid w:val="00432D98"/>
    <w:rsid w:val="00433045"/>
    <w:rsid w:val="0043452E"/>
    <w:rsid w:val="0043479D"/>
    <w:rsid w:val="0043481C"/>
    <w:rsid w:val="00434E02"/>
    <w:rsid w:val="00436869"/>
    <w:rsid w:val="00436D07"/>
    <w:rsid w:val="0043778F"/>
    <w:rsid w:val="00437CE5"/>
    <w:rsid w:val="004400EC"/>
    <w:rsid w:val="004405CE"/>
    <w:rsid w:val="004406C5"/>
    <w:rsid w:val="004408E2"/>
    <w:rsid w:val="00440D9F"/>
    <w:rsid w:val="00442314"/>
    <w:rsid w:val="00442438"/>
    <w:rsid w:val="00442A38"/>
    <w:rsid w:val="00442B15"/>
    <w:rsid w:val="00442FA2"/>
    <w:rsid w:val="004434E5"/>
    <w:rsid w:val="00443592"/>
    <w:rsid w:val="0044447E"/>
    <w:rsid w:val="00444A84"/>
    <w:rsid w:val="00444E28"/>
    <w:rsid w:val="004451B3"/>
    <w:rsid w:val="00445A08"/>
    <w:rsid w:val="00445A50"/>
    <w:rsid w:val="00445CEC"/>
    <w:rsid w:val="00445DA4"/>
    <w:rsid w:val="00445DBF"/>
    <w:rsid w:val="00446219"/>
    <w:rsid w:val="0044661D"/>
    <w:rsid w:val="00446B68"/>
    <w:rsid w:val="00446B90"/>
    <w:rsid w:val="00447020"/>
    <w:rsid w:val="00447077"/>
    <w:rsid w:val="004474AA"/>
    <w:rsid w:val="004479CF"/>
    <w:rsid w:val="00447B98"/>
    <w:rsid w:val="00447BE7"/>
    <w:rsid w:val="00447F9E"/>
    <w:rsid w:val="0045030A"/>
    <w:rsid w:val="00451193"/>
    <w:rsid w:val="00451F36"/>
    <w:rsid w:val="00452253"/>
    <w:rsid w:val="00452D5B"/>
    <w:rsid w:val="00452FD5"/>
    <w:rsid w:val="00453414"/>
    <w:rsid w:val="0045347E"/>
    <w:rsid w:val="00453F4C"/>
    <w:rsid w:val="00453F4F"/>
    <w:rsid w:val="00454805"/>
    <w:rsid w:val="00454B5B"/>
    <w:rsid w:val="00454D7B"/>
    <w:rsid w:val="00454EC8"/>
    <w:rsid w:val="0045512E"/>
    <w:rsid w:val="0045577D"/>
    <w:rsid w:val="00455878"/>
    <w:rsid w:val="00455C52"/>
    <w:rsid w:val="00455E09"/>
    <w:rsid w:val="0045603B"/>
    <w:rsid w:val="00456A53"/>
    <w:rsid w:val="00456C7F"/>
    <w:rsid w:val="00456E4C"/>
    <w:rsid w:val="0045752B"/>
    <w:rsid w:val="00457661"/>
    <w:rsid w:val="00457AFB"/>
    <w:rsid w:val="00457B6A"/>
    <w:rsid w:val="00461792"/>
    <w:rsid w:val="00461E6F"/>
    <w:rsid w:val="00461E82"/>
    <w:rsid w:val="00463600"/>
    <w:rsid w:val="00463685"/>
    <w:rsid w:val="004636AC"/>
    <w:rsid w:val="00463C13"/>
    <w:rsid w:val="0046405F"/>
    <w:rsid w:val="004648AA"/>
    <w:rsid w:val="00464A82"/>
    <w:rsid w:val="00465866"/>
    <w:rsid w:val="00465991"/>
    <w:rsid w:val="00465A6B"/>
    <w:rsid w:val="00465C20"/>
    <w:rsid w:val="00465D4E"/>
    <w:rsid w:val="00466294"/>
    <w:rsid w:val="00466433"/>
    <w:rsid w:val="00467112"/>
    <w:rsid w:val="0046739F"/>
    <w:rsid w:val="004674D0"/>
    <w:rsid w:val="00467650"/>
    <w:rsid w:val="004704C9"/>
    <w:rsid w:val="004708C0"/>
    <w:rsid w:val="00471D81"/>
    <w:rsid w:val="00472056"/>
    <w:rsid w:val="004720E2"/>
    <w:rsid w:val="004723C2"/>
    <w:rsid w:val="00472DCE"/>
    <w:rsid w:val="00473147"/>
    <w:rsid w:val="004736B7"/>
    <w:rsid w:val="004741F6"/>
    <w:rsid w:val="00474220"/>
    <w:rsid w:val="00474319"/>
    <w:rsid w:val="00474479"/>
    <w:rsid w:val="00474B25"/>
    <w:rsid w:val="0047517E"/>
    <w:rsid w:val="00475340"/>
    <w:rsid w:val="004753B1"/>
    <w:rsid w:val="00475AD3"/>
    <w:rsid w:val="00475B35"/>
    <w:rsid w:val="00475D4A"/>
    <w:rsid w:val="00476045"/>
    <w:rsid w:val="004760A2"/>
    <w:rsid w:val="00476967"/>
    <w:rsid w:val="004805A9"/>
    <w:rsid w:val="0048090A"/>
    <w:rsid w:val="004809CA"/>
    <w:rsid w:val="00480DEB"/>
    <w:rsid w:val="0048153F"/>
    <w:rsid w:val="004815B3"/>
    <w:rsid w:val="00481A84"/>
    <w:rsid w:val="00481D12"/>
    <w:rsid w:val="00482CDF"/>
    <w:rsid w:val="00482EE6"/>
    <w:rsid w:val="00484B14"/>
    <w:rsid w:val="00484EF4"/>
    <w:rsid w:val="004852D0"/>
    <w:rsid w:val="00485340"/>
    <w:rsid w:val="00485D36"/>
    <w:rsid w:val="00485FAC"/>
    <w:rsid w:val="00486522"/>
    <w:rsid w:val="0048692B"/>
    <w:rsid w:val="00486DCB"/>
    <w:rsid w:val="00486E17"/>
    <w:rsid w:val="00487758"/>
    <w:rsid w:val="004877D7"/>
    <w:rsid w:val="00487B56"/>
    <w:rsid w:val="00487C9A"/>
    <w:rsid w:val="00487D50"/>
    <w:rsid w:val="00490A8F"/>
    <w:rsid w:val="00490F65"/>
    <w:rsid w:val="00491633"/>
    <w:rsid w:val="00491A56"/>
    <w:rsid w:val="004926A8"/>
    <w:rsid w:val="004928E8"/>
    <w:rsid w:val="0049322F"/>
    <w:rsid w:val="00493351"/>
    <w:rsid w:val="00493825"/>
    <w:rsid w:val="00493F36"/>
    <w:rsid w:val="004950C6"/>
    <w:rsid w:val="004953CF"/>
    <w:rsid w:val="00495D95"/>
    <w:rsid w:val="0049630D"/>
    <w:rsid w:val="00496D3E"/>
    <w:rsid w:val="00496F6D"/>
    <w:rsid w:val="00497237"/>
    <w:rsid w:val="00497420"/>
    <w:rsid w:val="00497865"/>
    <w:rsid w:val="00497FCE"/>
    <w:rsid w:val="004A0680"/>
    <w:rsid w:val="004A0B9E"/>
    <w:rsid w:val="004A10BF"/>
    <w:rsid w:val="004A10E6"/>
    <w:rsid w:val="004A14A9"/>
    <w:rsid w:val="004A21F6"/>
    <w:rsid w:val="004A22A0"/>
    <w:rsid w:val="004A28B8"/>
    <w:rsid w:val="004A2ECA"/>
    <w:rsid w:val="004A357F"/>
    <w:rsid w:val="004A374C"/>
    <w:rsid w:val="004A3BF3"/>
    <w:rsid w:val="004A3D65"/>
    <w:rsid w:val="004A435E"/>
    <w:rsid w:val="004A5692"/>
    <w:rsid w:val="004A5D6C"/>
    <w:rsid w:val="004A5DD0"/>
    <w:rsid w:val="004A63A6"/>
    <w:rsid w:val="004A6557"/>
    <w:rsid w:val="004A6659"/>
    <w:rsid w:val="004A6D5C"/>
    <w:rsid w:val="004A740E"/>
    <w:rsid w:val="004A7F1A"/>
    <w:rsid w:val="004B0278"/>
    <w:rsid w:val="004B0356"/>
    <w:rsid w:val="004B099B"/>
    <w:rsid w:val="004B1FA4"/>
    <w:rsid w:val="004B2249"/>
    <w:rsid w:val="004B2496"/>
    <w:rsid w:val="004B2735"/>
    <w:rsid w:val="004B3282"/>
    <w:rsid w:val="004B33D8"/>
    <w:rsid w:val="004B3563"/>
    <w:rsid w:val="004B3727"/>
    <w:rsid w:val="004B38DF"/>
    <w:rsid w:val="004B3E1E"/>
    <w:rsid w:val="004B3E49"/>
    <w:rsid w:val="004B3E6B"/>
    <w:rsid w:val="004B4132"/>
    <w:rsid w:val="004B4828"/>
    <w:rsid w:val="004B495E"/>
    <w:rsid w:val="004B4C80"/>
    <w:rsid w:val="004B5591"/>
    <w:rsid w:val="004B65FC"/>
    <w:rsid w:val="004B668B"/>
    <w:rsid w:val="004B7758"/>
    <w:rsid w:val="004C01D9"/>
    <w:rsid w:val="004C0412"/>
    <w:rsid w:val="004C0557"/>
    <w:rsid w:val="004C0578"/>
    <w:rsid w:val="004C0675"/>
    <w:rsid w:val="004C0A9B"/>
    <w:rsid w:val="004C1003"/>
    <w:rsid w:val="004C1599"/>
    <w:rsid w:val="004C185F"/>
    <w:rsid w:val="004C27AD"/>
    <w:rsid w:val="004C2942"/>
    <w:rsid w:val="004C2AC7"/>
    <w:rsid w:val="004C2D08"/>
    <w:rsid w:val="004C2EFC"/>
    <w:rsid w:val="004C33AC"/>
    <w:rsid w:val="004C33BF"/>
    <w:rsid w:val="004C3DEA"/>
    <w:rsid w:val="004C3ECD"/>
    <w:rsid w:val="004C3F15"/>
    <w:rsid w:val="004C3F51"/>
    <w:rsid w:val="004C4B53"/>
    <w:rsid w:val="004C4D2A"/>
    <w:rsid w:val="004C54B2"/>
    <w:rsid w:val="004C54FA"/>
    <w:rsid w:val="004C5955"/>
    <w:rsid w:val="004C60FC"/>
    <w:rsid w:val="004C61CF"/>
    <w:rsid w:val="004C6E0E"/>
    <w:rsid w:val="004C6E72"/>
    <w:rsid w:val="004C6EA4"/>
    <w:rsid w:val="004C7701"/>
    <w:rsid w:val="004C7724"/>
    <w:rsid w:val="004C7912"/>
    <w:rsid w:val="004C7F02"/>
    <w:rsid w:val="004D03E1"/>
    <w:rsid w:val="004D0881"/>
    <w:rsid w:val="004D0EBD"/>
    <w:rsid w:val="004D11E6"/>
    <w:rsid w:val="004D1310"/>
    <w:rsid w:val="004D1635"/>
    <w:rsid w:val="004D1919"/>
    <w:rsid w:val="004D211D"/>
    <w:rsid w:val="004D2211"/>
    <w:rsid w:val="004D26A0"/>
    <w:rsid w:val="004D2756"/>
    <w:rsid w:val="004D28A1"/>
    <w:rsid w:val="004D2B8F"/>
    <w:rsid w:val="004D30F2"/>
    <w:rsid w:val="004D33C3"/>
    <w:rsid w:val="004D3CBB"/>
    <w:rsid w:val="004D48D9"/>
    <w:rsid w:val="004D5246"/>
    <w:rsid w:val="004D57D3"/>
    <w:rsid w:val="004D5B2C"/>
    <w:rsid w:val="004D5D5D"/>
    <w:rsid w:val="004D61E5"/>
    <w:rsid w:val="004D62B1"/>
    <w:rsid w:val="004D64D7"/>
    <w:rsid w:val="004D69AB"/>
    <w:rsid w:val="004D6B79"/>
    <w:rsid w:val="004D6D9C"/>
    <w:rsid w:val="004D75BB"/>
    <w:rsid w:val="004D7A54"/>
    <w:rsid w:val="004D7EE0"/>
    <w:rsid w:val="004E0076"/>
    <w:rsid w:val="004E100B"/>
    <w:rsid w:val="004E12F1"/>
    <w:rsid w:val="004E19B9"/>
    <w:rsid w:val="004E31F8"/>
    <w:rsid w:val="004E3269"/>
    <w:rsid w:val="004E32BE"/>
    <w:rsid w:val="004E398E"/>
    <w:rsid w:val="004E39B1"/>
    <w:rsid w:val="004E3B35"/>
    <w:rsid w:val="004E3C29"/>
    <w:rsid w:val="004E5208"/>
    <w:rsid w:val="004E5BF7"/>
    <w:rsid w:val="004E6A5E"/>
    <w:rsid w:val="004E716F"/>
    <w:rsid w:val="004E7B4F"/>
    <w:rsid w:val="004E7F70"/>
    <w:rsid w:val="004F011A"/>
    <w:rsid w:val="004F0325"/>
    <w:rsid w:val="004F0756"/>
    <w:rsid w:val="004F07CA"/>
    <w:rsid w:val="004F10F7"/>
    <w:rsid w:val="004F1C21"/>
    <w:rsid w:val="004F267C"/>
    <w:rsid w:val="004F3260"/>
    <w:rsid w:val="004F3791"/>
    <w:rsid w:val="004F3A07"/>
    <w:rsid w:val="004F4215"/>
    <w:rsid w:val="004F45E8"/>
    <w:rsid w:val="004F477B"/>
    <w:rsid w:val="004F4D27"/>
    <w:rsid w:val="004F5306"/>
    <w:rsid w:val="004F5479"/>
    <w:rsid w:val="004F5582"/>
    <w:rsid w:val="004F57A3"/>
    <w:rsid w:val="004F57D1"/>
    <w:rsid w:val="004F57F0"/>
    <w:rsid w:val="004F5883"/>
    <w:rsid w:val="004F58E0"/>
    <w:rsid w:val="004F5FE9"/>
    <w:rsid w:val="004F6098"/>
    <w:rsid w:val="004F6897"/>
    <w:rsid w:val="004F6E91"/>
    <w:rsid w:val="004F6F3D"/>
    <w:rsid w:val="004F75F2"/>
    <w:rsid w:val="004F7ADE"/>
    <w:rsid w:val="005004CF"/>
    <w:rsid w:val="00500785"/>
    <w:rsid w:val="00500A2A"/>
    <w:rsid w:val="00500CA2"/>
    <w:rsid w:val="005018B2"/>
    <w:rsid w:val="005025D7"/>
    <w:rsid w:val="00503432"/>
    <w:rsid w:val="005035F1"/>
    <w:rsid w:val="00503D78"/>
    <w:rsid w:val="0050493E"/>
    <w:rsid w:val="0050533C"/>
    <w:rsid w:val="0050570C"/>
    <w:rsid w:val="005059A5"/>
    <w:rsid w:val="00505F2E"/>
    <w:rsid w:val="00505FD2"/>
    <w:rsid w:val="00506A39"/>
    <w:rsid w:val="00510825"/>
    <w:rsid w:val="00511A5B"/>
    <w:rsid w:val="00511CFF"/>
    <w:rsid w:val="00512E26"/>
    <w:rsid w:val="00513210"/>
    <w:rsid w:val="005138CE"/>
    <w:rsid w:val="005139B3"/>
    <w:rsid w:val="005139C5"/>
    <w:rsid w:val="00513A93"/>
    <w:rsid w:val="00513CA7"/>
    <w:rsid w:val="00513CD5"/>
    <w:rsid w:val="005142B7"/>
    <w:rsid w:val="005142F6"/>
    <w:rsid w:val="0051443A"/>
    <w:rsid w:val="00514892"/>
    <w:rsid w:val="00514AA4"/>
    <w:rsid w:val="00514E17"/>
    <w:rsid w:val="00514FE6"/>
    <w:rsid w:val="00515700"/>
    <w:rsid w:val="00515837"/>
    <w:rsid w:val="00515B2A"/>
    <w:rsid w:val="00515BDF"/>
    <w:rsid w:val="00515BE4"/>
    <w:rsid w:val="00516660"/>
    <w:rsid w:val="00516C30"/>
    <w:rsid w:val="0051713E"/>
    <w:rsid w:val="005172C1"/>
    <w:rsid w:val="0051739D"/>
    <w:rsid w:val="005177E3"/>
    <w:rsid w:val="00520754"/>
    <w:rsid w:val="0052092B"/>
    <w:rsid w:val="00520937"/>
    <w:rsid w:val="00521D9A"/>
    <w:rsid w:val="00522878"/>
    <w:rsid w:val="00522E50"/>
    <w:rsid w:val="00522F1D"/>
    <w:rsid w:val="005231F4"/>
    <w:rsid w:val="005233FA"/>
    <w:rsid w:val="005239B9"/>
    <w:rsid w:val="00523B49"/>
    <w:rsid w:val="00523DBB"/>
    <w:rsid w:val="00524077"/>
    <w:rsid w:val="0052429D"/>
    <w:rsid w:val="0052447C"/>
    <w:rsid w:val="00524534"/>
    <w:rsid w:val="005247A1"/>
    <w:rsid w:val="0052487D"/>
    <w:rsid w:val="005250A2"/>
    <w:rsid w:val="00525701"/>
    <w:rsid w:val="00525B71"/>
    <w:rsid w:val="00525E61"/>
    <w:rsid w:val="00526B1D"/>
    <w:rsid w:val="00526FDF"/>
    <w:rsid w:val="0052704F"/>
    <w:rsid w:val="00527D11"/>
    <w:rsid w:val="00527DB6"/>
    <w:rsid w:val="00527E20"/>
    <w:rsid w:val="00527F95"/>
    <w:rsid w:val="00530707"/>
    <w:rsid w:val="00530BB0"/>
    <w:rsid w:val="00530D74"/>
    <w:rsid w:val="00531D70"/>
    <w:rsid w:val="005325DC"/>
    <w:rsid w:val="00532A67"/>
    <w:rsid w:val="00533DA2"/>
    <w:rsid w:val="0053546B"/>
    <w:rsid w:val="00535492"/>
    <w:rsid w:val="005354E8"/>
    <w:rsid w:val="00535738"/>
    <w:rsid w:val="00536672"/>
    <w:rsid w:val="00536C99"/>
    <w:rsid w:val="0053754E"/>
    <w:rsid w:val="00537EE1"/>
    <w:rsid w:val="00540A68"/>
    <w:rsid w:val="00540C89"/>
    <w:rsid w:val="00540D95"/>
    <w:rsid w:val="00541180"/>
    <w:rsid w:val="005418F1"/>
    <w:rsid w:val="00541E26"/>
    <w:rsid w:val="00541E8C"/>
    <w:rsid w:val="005424A3"/>
    <w:rsid w:val="0054289D"/>
    <w:rsid w:val="005429E9"/>
    <w:rsid w:val="00542CC6"/>
    <w:rsid w:val="005430AB"/>
    <w:rsid w:val="00543701"/>
    <w:rsid w:val="005439A5"/>
    <w:rsid w:val="00543E3D"/>
    <w:rsid w:val="00543F87"/>
    <w:rsid w:val="00544193"/>
    <w:rsid w:val="005450AC"/>
    <w:rsid w:val="005452AD"/>
    <w:rsid w:val="005454F2"/>
    <w:rsid w:val="005459E6"/>
    <w:rsid w:val="00545FBA"/>
    <w:rsid w:val="005467D6"/>
    <w:rsid w:val="00546D60"/>
    <w:rsid w:val="00546E5A"/>
    <w:rsid w:val="005475E0"/>
    <w:rsid w:val="0054764F"/>
    <w:rsid w:val="005477DB"/>
    <w:rsid w:val="0055089E"/>
    <w:rsid w:val="0055092C"/>
    <w:rsid w:val="00550F3E"/>
    <w:rsid w:val="005527D5"/>
    <w:rsid w:val="00552880"/>
    <w:rsid w:val="005530AE"/>
    <w:rsid w:val="005531F4"/>
    <w:rsid w:val="00553258"/>
    <w:rsid w:val="0055359F"/>
    <w:rsid w:val="00553A33"/>
    <w:rsid w:val="00553C8E"/>
    <w:rsid w:val="00553F2B"/>
    <w:rsid w:val="0055420B"/>
    <w:rsid w:val="005542D3"/>
    <w:rsid w:val="0055435E"/>
    <w:rsid w:val="0055453B"/>
    <w:rsid w:val="00554697"/>
    <w:rsid w:val="00554C32"/>
    <w:rsid w:val="00555097"/>
    <w:rsid w:val="005554C5"/>
    <w:rsid w:val="005555C2"/>
    <w:rsid w:val="00555658"/>
    <w:rsid w:val="005558E9"/>
    <w:rsid w:val="00555F8D"/>
    <w:rsid w:val="00556648"/>
    <w:rsid w:val="00556F5A"/>
    <w:rsid w:val="005572EF"/>
    <w:rsid w:val="00557566"/>
    <w:rsid w:val="0055768A"/>
    <w:rsid w:val="00557693"/>
    <w:rsid w:val="00557C0E"/>
    <w:rsid w:val="00560921"/>
    <w:rsid w:val="00560D0F"/>
    <w:rsid w:val="005610C8"/>
    <w:rsid w:val="00561723"/>
    <w:rsid w:val="00561EAD"/>
    <w:rsid w:val="005625D1"/>
    <w:rsid w:val="0056284A"/>
    <w:rsid w:val="00562BDB"/>
    <w:rsid w:val="0056321C"/>
    <w:rsid w:val="005635DE"/>
    <w:rsid w:val="00563E18"/>
    <w:rsid w:val="00563F68"/>
    <w:rsid w:val="005642A0"/>
    <w:rsid w:val="005644CC"/>
    <w:rsid w:val="005645A2"/>
    <w:rsid w:val="005647F7"/>
    <w:rsid w:val="005655F1"/>
    <w:rsid w:val="00565867"/>
    <w:rsid w:val="00565B73"/>
    <w:rsid w:val="0056604F"/>
    <w:rsid w:val="0056679D"/>
    <w:rsid w:val="00566D09"/>
    <w:rsid w:val="005670FA"/>
    <w:rsid w:val="00567486"/>
    <w:rsid w:val="00567E4A"/>
    <w:rsid w:val="00570ABC"/>
    <w:rsid w:val="005710E9"/>
    <w:rsid w:val="005715F3"/>
    <w:rsid w:val="00572A2E"/>
    <w:rsid w:val="00572D03"/>
    <w:rsid w:val="005731EC"/>
    <w:rsid w:val="0057354D"/>
    <w:rsid w:val="0057366C"/>
    <w:rsid w:val="005740CC"/>
    <w:rsid w:val="00574282"/>
    <w:rsid w:val="005742B6"/>
    <w:rsid w:val="005744A7"/>
    <w:rsid w:val="00574A65"/>
    <w:rsid w:val="00574AC2"/>
    <w:rsid w:val="00574DB6"/>
    <w:rsid w:val="00575687"/>
    <w:rsid w:val="00575AC3"/>
    <w:rsid w:val="00575BB3"/>
    <w:rsid w:val="00575BF6"/>
    <w:rsid w:val="00575CDC"/>
    <w:rsid w:val="005760B9"/>
    <w:rsid w:val="00576DAF"/>
    <w:rsid w:val="0057716F"/>
    <w:rsid w:val="005773C2"/>
    <w:rsid w:val="00577406"/>
    <w:rsid w:val="00577C55"/>
    <w:rsid w:val="00577CB9"/>
    <w:rsid w:val="005800AA"/>
    <w:rsid w:val="005806DC"/>
    <w:rsid w:val="00580C2C"/>
    <w:rsid w:val="00580FB1"/>
    <w:rsid w:val="0058179E"/>
    <w:rsid w:val="00581DE5"/>
    <w:rsid w:val="00581DEF"/>
    <w:rsid w:val="005828AE"/>
    <w:rsid w:val="00582916"/>
    <w:rsid w:val="00582FF5"/>
    <w:rsid w:val="0058314E"/>
    <w:rsid w:val="005834C7"/>
    <w:rsid w:val="005838D6"/>
    <w:rsid w:val="00583A20"/>
    <w:rsid w:val="00583DCE"/>
    <w:rsid w:val="00583F4C"/>
    <w:rsid w:val="005840FA"/>
    <w:rsid w:val="00584ED7"/>
    <w:rsid w:val="005859C6"/>
    <w:rsid w:val="00585EAF"/>
    <w:rsid w:val="00586336"/>
    <w:rsid w:val="0058683A"/>
    <w:rsid w:val="00586D2F"/>
    <w:rsid w:val="00587304"/>
    <w:rsid w:val="005874AB"/>
    <w:rsid w:val="00587690"/>
    <w:rsid w:val="00587948"/>
    <w:rsid w:val="00587A39"/>
    <w:rsid w:val="005900CF"/>
    <w:rsid w:val="0059056A"/>
    <w:rsid w:val="005906FA"/>
    <w:rsid w:val="0059146E"/>
    <w:rsid w:val="0059179B"/>
    <w:rsid w:val="005926A2"/>
    <w:rsid w:val="00592B08"/>
    <w:rsid w:val="00592E69"/>
    <w:rsid w:val="00593062"/>
    <w:rsid w:val="0059308F"/>
    <w:rsid w:val="00593A82"/>
    <w:rsid w:val="00593DC7"/>
    <w:rsid w:val="00593FE5"/>
    <w:rsid w:val="005944B5"/>
    <w:rsid w:val="0059489A"/>
    <w:rsid w:val="00595129"/>
    <w:rsid w:val="00595164"/>
    <w:rsid w:val="005952CF"/>
    <w:rsid w:val="00595731"/>
    <w:rsid w:val="00595F0A"/>
    <w:rsid w:val="00595F1E"/>
    <w:rsid w:val="00595FD1"/>
    <w:rsid w:val="005969B8"/>
    <w:rsid w:val="00596D02"/>
    <w:rsid w:val="0059726A"/>
    <w:rsid w:val="00597318"/>
    <w:rsid w:val="005975C8"/>
    <w:rsid w:val="00597C6F"/>
    <w:rsid w:val="005A05E4"/>
    <w:rsid w:val="005A09CC"/>
    <w:rsid w:val="005A0B94"/>
    <w:rsid w:val="005A1262"/>
    <w:rsid w:val="005A15E4"/>
    <w:rsid w:val="005A1EEE"/>
    <w:rsid w:val="005A203A"/>
    <w:rsid w:val="005A23E6"/>
    <w:rsid w:val="005A249C"/>
    <w:rsid w:val="005A2687"/>
    <w:rsid w:val="005A28E3"/>
    <w:rsid w:val="005A2ABE"/>
    <w:rsid w:val="005A3492"/>
    <w:rsid w:val="005A3C32"/>
    <w:rsid w:val="005A3ED8"/>
    <w:rsid w:val="005A4448"/>
    <w:rsid w:val="005A4AD8"/>
    <w:rsid w:val="005A4E20"/>
    <w:rsid w:val="005A4FFD"/>
    <w:rsid w:val="005A529B"/>
    <w:rsid w:val="005A53AC"/>
    <w:rsid w:val="005A59C3"/>
    <w:rsid w:val="005A5E1C"/>
    <w:rsid w:val="005A6021"/>
    <w:rsid w:val="005A6055"/>
    <w:rsid w:val="005A62FB"/>
    <w:rsid w:val="005A6769"/>
    <w:rsid w:val="005A6E36"/>
    <w:rsid w:val="005A6EBE"/>
    <w:rsid w:val="005A7430"/>
    <w:rsid w:val="005A7737"/>
    <w:rsid w:val="005A776A"/>
    <w:rsid w:val="005A7B5F"/>
    <w:rsid w:val="005B0539"/>
    <w:rsid w:val="005B05F4"/>
    <w:rsid w:val="005B0954"/>
    <w:rsid w:val="005B0F92"/>
    <w:rsid w:val="005B14FC"/>
    <w:rsid w:val="005B182F"/>
    <w:rsid w:val="005B19C9"/>
    <w:rsid w:val="005B1BFA"/>
    <w:rsid w:val="005B2362"/>
    <w:rsid w:val="005B2C17"/>
    <w:rsid w:val="005B2D35"/>
    <w:rsid w:val="005B2DC2"/>
    <w:rsid w:val="005B3160"/>
    <w:rsid w:val="005B3838"/>
    <w:rsid w:val="005B3F73"/>
    <w:rsid w:val="005B4124"/>
    <w:rsid w:val="005B457F"/>
    <w:rsid w:val="005B4824"/>
    <w:rsid w:val="005B4C23"/>
    <w:rsid w:val="005B5338"/>
    <w:rsid w:val="005B5508"/>
    <w:rsid w:val="005B586F"/>
    <w:rsid w:val="005B603C"/>
    <w:rsid w:val="005B6650"/>
    <w:rsid w:val="005B6D6A"/>
    <w:rsid w:val="005B6E59"/>
    <w:rsid w:val="005B73E8"/>
    <w:rsid w:val="005B7F12"/>
    <w:rsid w:val="005B7F26"/>
    <w:rsid w:val="005C02F0"/>
    <w:rsid w:val="005C06A2"/>
    <w:rsid w:val="005C0AB3"/>
    <w:rsid w:val="005C1184"/>
    <w:rsid w:val="005C1449"/>
    <w:rsid w:val="005C163C"/>
    <w:rsid w:val="005C1A1C"/>
    <w:rsid w:val="005C1AC8"/>
    <w:rsid w:val="005C2141"/>
    <w:rsid w:val="005C24AA"/>
    <w:rsid w:val="005C2AD4"/>
    <w:rsid w:val="005C31B4"/>
    <w:rsid w:val="005C3319"/>
    <w:rsid w:val="005C3C9D"/>
    <w:rsid w:val="005C3D9B"/>
    <w:rsid w:val="005C4881"/>
    <w:rsid w:val="005C4B50"/>
    <w:rsid w:val="005C4C0D"/>
    <w:rsid w:val="005C4E0D"/>
    <w:rsid w:val="005C4F45"/>
    <w:rsid w:val="005C5482"/>
    <w:rsid w:val="005C57AA"/>
    <w:rsid w:val="005C57EF"/>
    <w:rsid w:val="005C5BE7"/>
    <w:rsid w:val="005C5CF1"/>
    <w:rsid w:val="005C5D0B"/>
    <w:rsid w:val="005C6BA2"/>
    <w:rsid w:val="005C6CA2"/>
    <w:rsid w:val="005C6E29"/>
    <w:rsid w:val="005C6F33"/>
    <w:rsid w:val="005C71B5"/>
    <w:rsid w:val="005C731D"/>
    <w:rsid w:val="005C7641"/>
    <w:rsid w:val="005C7647"/>
    <w:rsid w:val="005C78EA"/>
    <w:rsid w:val="005D06BF"/>
    <w:rsid w:val="005D08D3"/>
    <w:rsid w:val="005D21BE"/>
    <w:rsid w:val="005D2277"/>
    <w:rsid w:val="005D28A7"/>
    <w:rsid w:val="005D2AA4"/>
    <w:rsid w:val="005D2B3F"/>
    <w:rsid w:val="005D31CE"/>
    <w:rsid w:val="005D3294"/>
    <w:rsid w:val="005D3365"/>
    <w:rsid w:val="005D3617"/>
    <w:rsid w:val="005D3CD6"/>
    <w:rsid w:val="005D41C0"/>
    <w:rsid w:val="005D4A22"/>
    <w:rsid w:val="005D4B8D"/>
    <w:rsid w:val="005D4C69"/>
    <w:rsid w:val="005D5033"/>
    <w:rsid w:val="005D55D7"/>
    <w:rsid w:val="005D56F7"/>
    <w:rsid w:val="005D642A"/>
    <w:rsid w:val="005D664C"/>
    <w:rsid w:val="005D66AA"/>
    <w:rsid w:val="005D7031"/>
    <w:rsid w:val="005D7DE5"/>
    <w:rsid w:val="005E00BA"/>
    <w:rsid w:val="005E0D0F"/>
    <w:rsid w:val="005E0D43"/>
    <w:rsid w:val="005E0E5A"/>
    <w:rsid w:val="005E1E1F"/>
    <w:rsid w:val="005E25D6"/>
    <w:rsid w:val="005E48B9"/>
    <w:rsid w:val="005E4D8C"/>
    <w:rsid w:val="005E5DED"/>
    <w:rsid w:val="005E694F"/>
    <w:rsid w:val="005E6B0F"/>
    <w:rsid w:val="005E6E34"/>
    <w:rsid w:val="005E713D"/>
    <w:rsid w:val="005E7850"/>
    <w:rsid w:val="005E793A"/>
    <w:rsid w:val="005E79AE"/>
    <w:rsid w:val="005E7C53"/>
    <w:rsid w:val="005F0504"/>
    <w:rsid w:val="005F0A79"/>
    <w:rsid w:val="005F102D"/>
    <w:rsid w:val="005F10BC"/>
    <w:rsid w:val="005F185A"/>
    <w:rsid w:val="005F2B31"/>
    <w:rsid w:val="005F2B9F"/>
    <w:rsid w:val="005F2C20"/>
    <w:rsid w:val="005F2F1E"/>
    <w:rsid w:val="005F3480"/>
    <w:rsid w:val="005F4023"/>
    <w:rsid w:val="005F42A6"/>
    <w:rsid w:val="005F4402"/>
    <w:rsid w:val="005F4E38"/>
    <w:rsid w:val="005F520C"/>
    <w:rsid w:val="005F5E7D"/>
    <w:rsid w:val="005F69D1"/>
    <w:rsid w:val="005F7238"/>
    <w:rsid w:val="005F72FF"/>
    <w:rsid w:val="005F7EAB"/>
    <w:rsid w:val="005F7EE5"/>
    <w:rsid w:val="006000E3"/>
    <w:rsid w:val="006004CD"/>
    <w:rsid w:val="006004EF"/>
    <w:rsid w:val="00600806"/>
    <w:rsid w:val="00600B73"/>
    <w:rsid w:val="00600D6B"/>
    <w:rsid w:val="00601065"/>
    <w:rsid w:val="006011B4"/>
    <w:rsid w:val="0060125E"/>
    <w:rsid w:val="006014FA"/>
    <w:rsid w:val="00601622"/>
    <w:rsid w:val="006018D6"/>
    <w:rsid w:val="00601CF7"/>
    <w:rsid w:val="00601F29"/>
    <w:rsid w:val="006022F9"/>
    <w:rsid w:val="006029BD"/>
    <w:rsid w:val="00602E51"/>
    <w:rsid w:val="006032F7"/>
    <w:rsid w:val="006036BB"/>
    <w:rsid w:val="006039A8"/>
    <w:rsid w:val="00604671"/>
    <w:rsid w:val="006046A3"/>
    <w:rsid w:val="00604E2F"/>
    <w:rsid w:val="00604F48"/>
    <w:rsid w:val="0060504A"/>
    <w:rsid w:val="00605503"/>
    <w:rsid w:val="00605DDF"/>
    <w:rsid w:val="00606406"/>
    <w:rsid w:val="00606487"/>
    <w:rsid w:val="006065E9"/>
    <w:rsid w:val="00606C40"/>
    <w:rsid w:val="00606D68"/>
    <w:rsid w:val="006072C7"/>
    <w:rsid w:val="00607B9B"/>
    <w:rsid w:val="00607F66"/>
    <w:rsid w:val="00610296"/>
    <w:rsid w:val="00610AA0"/>
    <w:rsid w:val="00610D8B"/>
    <w:rsid w:val="00610EF4"/>
    <w:rsid w:val="0061148D"/>
    <w:rsid w:val="00611892"/>
    <w:rsid w:val="00612BF4"/>
    <w:rsid w:val="006130B0"/>
    <w:rsid w:val="00613848"/>
    <w:rsid w:val="00614103"/>
    <w:rsid w:val="00614359"/>
    <w:rsid w:val="006144A4"/>
    <w:rsid w:val="0061484E"/>
    <w:rsid w:val="00615103"/>
    <w:rsid w:val="00617076"/>
    <w:rsid w:val="00617562"/>
    <w:rsid w:val="00617704"/>
    <w:rsid w:val="00617A90"/>
    <w:rsid w:val="00617CA1"/>
    <w:rsid w:val="00620262"/>
    <w:rsid w:val="006207BD"/>
    <w:rsid w:val="00620D70"/>
    <w:rsid w:val="00620DF3"/>
    <w:rsid w:val="006216DC"/>
    <w:rsid w:val="00621798"/>
    <w:rsid w:val="00621A37"/>
    <w:rsid w:val="00621B36"/>
    <w:rsid w:val="00621B58"/>
    <w:rsid w:val="00621EFD"/>
    <w:rsid w:val="00621F20"/>
    <w:rsid w:val="0062264C"/>
    <w:rsid w:val="00622842"/>
    <w:rsid w:val="0062291C"/>
    <w:rsid w:val="00622C8B"/>
    <w:rsid w:val="00622EA4"/>
    <w:rsid w:val="00623647"/>
    <w:rsid w:val="00623ACF"/>
    <w:rsid w:val="00623C1B"/>
    <w:rsid w:val="0062421E"/>
    <w:rsid w:val="006249BE"/>
    <w:rsid w:val="00624C9E"/>
    <w:rsid w:val="00624D7B"/>
    <w:rsid w:val="0062528B"/>
    <w:rsid w:val="006253CF"/>
    <w:rsid w:val="0062610C"/>
    <w:rsid w:val="0062674B"/>
    <w:rsid w:val="00626769"/>
    <w:rsid w:val="00626FF7"/>
    <w:rsid w:val="0062780C"/>
    <w:rsid w:val="00630364"/>
    <w:rsid w:val="00630668"/>
    <w:rsid w:val="00631284"/>
    <w:rsid w:val="0063165C"/>
    <w:rsid w:val="006316EA"/>
    <w:rsid w:val="00632170"/>
    <w:rsid w:val="0063226F"/>
    <w:rsid w:val="00632AD9"/>
    <w:rsid w:val="00633099"/>
    <w:rsid w:val="0063325F"/>
    <w:rsid w:val="00633889"/>
    <w:rsid w:val="00633D09"/>
    <w:rsid w:val="00634B5E"/>
    <w:rsid w:val="00635545"/>
    <w:rsid w:val="00635859"/>
    <w:rsid w:val="00635D05"/>
    <w:rsid w:val="006365FA"/>
    <w:rsid w:val="0063676E"/>
    <w:rsid w:val="00637108"/>
    <w:rsid w:val="00637351"/>
    <w:rsid w:val="0063748E"/>
    <w:rsid w:val="006376E8"/>
    <w:rsid w:val="006378BB"/>
    <w:rsid w:val="0064013F"/>
    <w:rsid w:val="00640226"/>
    <w:rsid w:val="00640808"/>
    <w:rsid w:val="0064103F"/>
    <w:rsid w:val="006413F1"/>
    <w:rsid w:val="006414DE"/>
    <w:rsid w:val="00641A2C"/>
    <w:rsid w:val="00641D01"/>
    <w:rsid w:val="00642073"/>
    <w:rsid w:val="006423A5"/>
    <w:rsid w:val="00642A54"/>
    <w:rsid w:val="00642D12"/>
    <w:rsid w:val="006431E0"/>
    <w:rsid w:val="006439CE"/>
    <w:rsid w:val="006440B0"/>
    <w:rsid w:val="006441C8"/>
    <w:rsid w:val="00644620"/>
    <w:rsid w:val="00645376"/>
    <w:rsid w:val="006458DD"/>
    <w:rsid w:val="0064598F"/>
    <w:rsid w:val="006459CF"/>
    <w:rsid w:val="00645D6E"/>
    <w:rsid w:val="006461A6"/>
    <w:rsid w:val="0064760D"/>
    <w:rsid w:val="00647ED6"/>
    <w:rsid w:val="00650113"/>
    <w:rsid w:val="006501DC"/>
    <w:rsid w:val="006502EC"/>
    <w:rsid w:val="00650A22"/>
    <w:rsid w:val="0065107B"/>
    <w:rsid w:val="006516CA"/>
    <w:rsid w:val="00651B68"/>
    <w:rsid w:val="00652B45"/>
    <w:rsid w:val="006530E6"/>
    <w:rsid w:val="006530F6"/>
    <w:rsid w:val="006531C0"/>
    <w:rsid w:val="0065345B"/>
    <w:rsid w:val="00654418"/>
    <w:rsid w:val="006549A0"/>
    <w:rsid w:val="00654F61"/>
    <w:rsid w:val="006551BB"/>
    <w:rsid w:val="00656005"/>
    <w:rsid w:val="00657916"/>
    <w:rsid w:val="00660561"/>
    <w:rsid w:val="00660A43"/>
    <w:rsid w:val="0066149C"/>
    <w:rsid w:val="00661E31"/>
    <w:rsid w:val="0066201E"/>
    <w:rsid w:val="006620F8"/>
    <w:rsid w:val="00663819"/>
    <w:rsid w:val="00663C4F"/>
    <w:rsid w:val="00664DC6"/>
    <w:rsid w:val="00664F1A"/>
    <w:rsid w:val="006650D5"/>
    <w:rsid w:val="00665181"/>
    <w:rsid w:val="00665285"/>
    <w:rsid w:val="0066534B"/>
    <w:rsid w:val="0066569A"/>
    <w:rsid w:val="00665AC4"/>
    <w:rsid w:val="00666543"/>
    <w:rsid w:val="00667181"/>
    <w:rsid w:val="00667966"/>
    <w:rsid w:val="00670101"/>
    <w:rsid w:val="00670407"/>
    <w:rsid w:val="00670E0F"/>
    <w:rsid w:val="00670E86"/>
    <w:rsid w:val="00672722"/>
    <w:rsid w:val="00672997"/>
    <w:rsid w:val="00672F6F"/>
    <w:rsid w:val="00672F84"/>
    <w:rsid w:val="0067320B"/>
    <w:rsid w:val="00673477"/>
    <w:rsid w:val="00673867"/>
    <w:rsid w:val="0067390A"/>
    <w:rsid w:val="00673BB6"/>
    <w:rsid w:val="00674191"/>
    <w:rsid w:val="006744FE"/>
    <w:rsid w:val="00674954"/>
    <w:rsid w:val="0067574E"/>
    <w:rsid w:val="00675C6C"/>
    <w:rsid w:val="006762AA"/>
    <w:rsid w:val="0067667F"/>
    <w:rsid w:val="00676A56"/>
    <w:rsid w:val="00676ACB"/>
    <w:rsid w:val="00677122"/>
    <w:rsid w:val="006773B1"/>
    <w:rsid w:val="00677453"/>
    <w:rsid w:val="00680431"/>
    <w:rsid w:val="006804DB"/>
    <w:rsid w:val="00681180"/>
    <w:rsid w:val="00682111"/>
    <w:rsid w:val="006823AB"/>
    <w:rsid w:val="00682789"/>
    <w:rsid w:val="00682CA2"/>
    <w:rsid w:val="006833CC"/>
    <w:rsid w:val="00683434"/>
    <w:rsid w:val="00683B99"/>
    <w:rsid w:val="00683CEF"/>
    <w:rsid w:val="00683D14"/>
    <w:rsid w:val="00683E21"/>
    <w:rsid w:val="00684505"/>
    <w:rsid w:val="00684896"/>
    <w:rsid w:val="00684954"/>
    <w:rsid w:val="00684AD6"/>
    <w:rsid w:val="006850A7"/>
    <w:rsid w:val="00685423"/>
    <w:rsid w:val="006856C3"/>
    <w:rsid w:val="00685966"/>
    <w:rsid w:val="00686C87"/>
    <w:rsid w:val="00687074"/>
    <w:rsid w:val="0068773C"/>
    <w:rsid w:val="00687C70"/>
    <w:rsid w:val="00687DB0"/>
    <w:rsid w:val="006901B4"/>
    <w:rsid w:val="00690E87"/>
    <w:rsid w:val="00691530"/>
    <w:rsid w:val="006918CC"/>
    <w:rsid w:val="00691F26"/>
    <w:rsid w:val="0069223D"/>
    <w:rsid w:val="0069230B"/>
    <w:rsid w:val="0069232E"/>
    <w:rsid w:val="006923E5"/>
    <w:rsid w:val="006923F7"/>
    <w:rsid w:val="00692430"/>
    <w:rsid w:val="00692562"/>
    <w:rsid w:val="00692753"/>
    <w:rsid w:val="0069306F"/>
    <w:rsid w:val="00693227"/>
    <w:rsid w:val="0069419C"/>
    <w:rsid w:val="0069429A"/>
    <w:rsid w:val="00694426"/>
    <w:rsid w:val="006946EC"/>
    <w:rsid w:val="006947F9"/>
    <w:rsid w:val="006948A5"/>
    <w:rsid w:val="00694A50"/>
    <w:rsid w:val="00695247"/>
    <w:rsid w:val="0069580E"/>
    <w:rsid w:val="00695B27"/>
    <w:rsid w:val="00695C42"/>
    <w:rsid w:val="00695C7D"/>
    <w:rsid w:val="006963CE"/>
    <w:rsid w:val="00696D07"/>
    <w:rsid w:val="00696F69"/>
    <w:rsid w:val="00697735"/>
    <w:rsid w:val="0069795F"/>
    <w:rsid w:val="006A150B"/>
    <w:rsid w:val="006A1DDC"/>
    <w:rsid w:val="006A2C72"/>
    <w:rsid w:val="006A3901"/>
    <w:rsid w:val="006A4318"/>
    <w:rsid w:val="006A45E9"/>
    <w:rsid w:val="006A4760"/>
    <w:rsid w:val="006A484B"/>
    <w:rsid w:val="006A5560"/>
    <w:rsid w:val="006A56AC"/>
    <w:rsid w:val="006A62BB"/>
    <w:rsid w:val="006A67C3"/>
    <w:rsid w:val="006A7809"/>
    <w:rsid w:val="006A7DF5"/>
    <w:rsid w:val="006B04D4"/>
    <w:rsid w:val="006B0B54"/>
    <w:rsid w:val="006B0CC0"/>
    <w:rsid w:val="006B193B"/>
    <w:rsid w:val="006B1CF0"/>
    <w:rsid w:val="006B2605"/>
    <w:rsid w:val="006B2BDD"/>
    <w:rsid w:val="006B2E28"/>
    <w:rsid w:val="006B2E98"/>
    <w:rsid w:val="006B37B4"/>
    <w:rsid w:val="006B3A24"/>
    <w:rsid w:val="006B3A81"/>
    <w:rsid w:val="006B4AAC"/>
    <w:rsid w:val="006B4AD9"/>
    <w:rsid w:val="006B4C5B"/>
    <w:rsid w:val="006B4F37"/>
    <w:rsid w:val="006B516B"/>
    <w:rsid w:val="006B5636"/>
    <w:rsid w:val="006B56F2"/>
    <w:rsid w:val="006B5A60"/>
    <w:rsid w:val="006B5F0A"/>
    <w:rsid w:val="006B6302"/>
    <w:rsid w:val="006B64CC"/>
    <w:rsid w:val="006B6859"/>
    <w:rsid w:val="006B6949"/>
    <w:rsid w:val="006B6D21"/>
    <w:rsid w:val="006B724E"/>
    <w:rsid w:val="006B73E3"/>
    <w:rsid w:val="006B7793"/>
    <w:rsid w:val="006B7FB0"/>
    <w:rsid w:val="006C0533"/>
    <w:rsid w:val="006C05B1"/>
    <w:rsid w:val="006C1646"/>
    <w:rsid w:val="006C2135"/>
    <w:rsid w:val="006C2516"/>
    <w:rsid w:val="006C2C7D"/>
    <w:rsid w:val="006C3148"/>
    <w:rsid w:val="006C34A2"/>
    <w:rsid w:val="006C3536"/>
    <w:rsid w:val="006C3C21"/>
    <w:rsid w:val="006C4AE3"/>
    <w:rsid w:val="006C56CF"/>
    <w:rsid w:val="006C5981"/>
    <w:rsid w:val="006C5C39"/>
    <w:rsid w:val="006C5E85"/>
    <w:rsid w:val="006C6E3C"/>
    <w:rsid w:val="006C6F54"/>
    <w:rsid w:val="006C6FF0"/>
    <w:rsid w:val="006C711D"/>
    <w:rsid w:val="006D005F"/>
    <w:rsid w:val="006D0113"/>
    <w:rsid w:val="006D08E3"/>
    <w:rsid w:val="006D0D6D"/>
    <w:rsid w:val="006D0D7C"/>
    <w:rsid w:val="006D1399"/>
    <w:rsid w:val="006D159D"/>
    <w:rsid w:val="006D20D7"/>
    <w:rsid w:val="006D21F5"/>
    <w:rsid w:val="006D2503"/>
    <w:rsid w:val="006D27E3"/>
    <w:rsid w:val="006D296B"/>
    <w:rsid w:val="006D2B1F"/>
    <w:rsid w:val="006D2D66"/>
    <w:rsid w:val="006D352E"/>
    <w:rsid w:val="006D3A96"/>
    <w:rsid w:val="006D3D20"/>
    <w:rsid w:val="006D40F6"/>
    <w:rsid w:val="006D47B8"/>
    <w:rsid w:val="006D4D85"/>
    <w:rsid w:val="006D5663"/>
    <w:rsid w:val="006D5935"/>
    <w:rsid w:val="006D5EC8"/>
    <w:rsid w:val="006D647F"/>
    <w:rsid w:val="006D6556"/>
    <w:rsid w:val="006D767B"/>
    <w:rsid w:val="006E064F"/>
    <w:rsid w:val="006E08B2"/>
    <w:rsid w:val="006E09DE"/>
    <w:rsid w:val="006E0AE6"/>
    <w:rsid w:val="006E1010"/>
    <w:rsid w:val="006E1520"/>
    <w:rsid w:val="006E159A"/>
    <w:rsid w:val="006E2117"/>
    <w:rsid w:val="006E22ED"/>
    <w:rsid w:val="006E275A"/>
    <w:rsid w:val="006E27ED"/>
    <w:rsid w:val="006E28C6"/>
    <w:rsid w:val="006E2EEA"/>
    <w:rsid w:val="006E2F6C"/>
    <w:rsid w:val="006E3011"/>
    <w:rsid w:val="006E312C"/>
    <w:rsid w:val="006E381A"/>
    <w:rsid w:val="006E3926"/>
    <w:rsid w:val="006E3C8A"/>
    <w:rsid w:val="006E4079"/>
    <w:rsid w:val="006E409C"/>
    <w:rsid w:val="006E419B"/>
    <w:rsid w:val="006E5760"/>
    <w:rsid w:val="006E58E4"/>
    <w:rsid w:val="006E5E5D"/>
    <w:rsid w:val="006F0515"/>
    <w:rsid w:val="006F07C5"/>
    <w:rsid w:val="006F0803"/>
    <w:rsid w:val="006F094A"/>
    <w:rsid w:val="006F09F3"/>
    <w:rsid w:val="006F0CA5"/>
    <w:rsid w:val="006F0CFB"/>
    <w:rsid w:val="006F1E7F"/>
    <w:rsid w:val="006F24F5"/>
    <w:rsid w:val="006F2775"/>
    <w:rsid w:val="006F3189"/>
    <w:rsid w:val="006F404D"/>
    <w:rsid w:val="006F40F0"/>
    <w:rsid w:val="006F42FC"/>
    <w:rsid w:val="006F49F4"/>
    <w:rsid w:val="006F5814"/>
    <w:rsid w:val="006F5933"/>
    <w:rsid w:val="006F59EF"/>
    <w:rsid w:val="006F616E"/>
    <w:rsid w:val="006F6297"/>
    <w:rsid w:val="006F6357"/>
    <w:rsid w:val="006F64B3"/>
    <w:rsid w:val="006F70D1"/>
    <w:rsid w:val="006F7393"/>
    <w:rsid w:val="006F774F"/>
    <w:rsid w:val="006F7A9B"/>
    <w:rsid w:val="007004E9"/>
    <w:rsid w:val="00700778"/>
    <w:rsid w:val="00700C51"/>
    <w:rsid w:val="0070177F"/>
    <w:rsid w:val="00701B1D"/>
    <w:rsid w:val="0070222D"/>
    <w:rsid w:val="007023EE"/>
    <w:rsid w:val="00702867"/>
    <w:rsid w:val="00702AC6"/>
    <w:rsid w:val="00702F5E"/>
    <w:rsid w:val="00703C66"/>
    <w:rsid w:val="00703F0E"/>
    <w:rsid w:val="007043F2"/>
    <w:rsid w:val="00704668"/>
    <w:rsid w:val="007058B9"/>
    <w:rsid w:val="0070597C"/>
    <w:rsid w:val="00705A02"/>
    <w:rsid w:val="00705F60"/>
    <w:rsid w:val="007060C2"/>
    <w:rsid w:val="00706244"/>
    <w:rsid w:val="0070674E"/>
    <w:rsid w:val="00706C8A"/>
    <w:rsid w:val="00706E5D"/>
    <w:rsid w:val="00706F6A"/>
    <w:rsid w:val="007070C4"/>
    <w:rsid w:val="007070DD"/>
    <w:rsid w:val="007072C2"/>
    <w:rsid w:val="00707E12"/>
    <w:rsid w:val="00710820"/>
    <w:rsid w:val="00710A4E"/>
    <w:rsid w:val="00710CEE"/>
    <w:rsid w:val="00710DA4"/>
    <w:rsid w:val="00711151"/>
    <w:rsid w:val="00711333"/>
    <w:rsid w:val="00711397"/>
    <w:rsid w:val="00711503"/>
    <w:rsid w:val="00711957"/>
    <w:rsid w:val="007119B0"/>
    <w:rsid w:val="00711D86"/>
    <w:rsid w:val="00711E03"/>
    <w:rsid w:val="00711E40"/>
    <w:rsid w:val="00712620"/>
    <w:rsid w:val="00713069"/>
    <w:rsid w:val="007135F1"/>
    <w:rsid w:val="00713638"/>
    <w:rsid w:val="00713CF0"/>
    <w:rsid w:val="00713D3E"/>
    <w:rsid w:val="00713E18"/>
    <w:rsid w:val="00714543"/>
    <w:rsid w:val="007148D4"/>
    <w:rsid w:val="00714BCF"/>
    <w:rsid w:val="00714DB5"/>
    <w:rsid w:val="0071652C"/>
    <w:rsid w:val="00716E53"/>
    <w:rsid w:val="00717E19"/>
    <w:rsid w:val="0072038F"/>
    <w:rsid w:val="00720441"/>
    <w:rsid w:val="0072064D"/>
    <w:rsid w:val="007206D7"/>
    <w:rsid w:val="00720E20"/>
    <w:rsid w:val="00721005"/>
    <w:rsid w:val="0072110F"/>
    <w:rsid w:val="0072129B"/>
    <w:rsid w:val="00721ADB"/>
    <w:rsid w:val="00721DD7"/>
    <w:rsid w:val="00722619"/>
    <w:rsid w:val="007229DB"/>
    <w:rsid w:val="00722D27"/>
    <w:rsid w:val="00723436"/>
    <w:rsid w:val="007237D1"/>
    <w:rsid w:val="00724B86"/>
    <w:rsid w:val="00724E08"/>
    <w:rsid w:val="00724F95"/>
    <w:rsid w:val="00724FAC"/>
    <w:rsid w:val="0072553E"/>
    <w:rsid w:val="0072566B"/>
    <w:rsid w:val="00725ABC"/>
    <w:rsid w:val="00725B55"/>
    <w:rsid w:val="007260E1"/>
    <w:rsid w:val="00726192"/>
    <w:rsid w:val="00726308"/>
    <w:rsid w:val="00727007"/>
    <w:rsid w:val="007308C6"/>
    <w:rsid w:val="00730F1A"/>
    <w:rsid w:val="00730F4E"/>
    <w:rsid w:val="00731017"/>
    <w:rsid w:val="007316E9"/>
    <w:rsid w:val="00732413"/>
    <w:rsid w:val="0073249A"/>
    <w:rsid w:val="00732EE0"/>
    <w:rsid w:val="00732F47"/>
    <w:rsid w:val="00733227"/>
    <w:rsid w:val="00733762"/>
    <w:rsid w:val="00733C55"/>
    <w:rsid w:val="007346B6"/>
    <w:rsid w:val="00734942"/>
    <w:rsid w:val="0073495C"/>
    <w:rsid w:val="00734AAB"/>
    <w:rsid w:val="00734CC8"/>
    <w:rsid w:val="00736074"/>
    <w:rsid w:val="00736474"/>
    <w:rsid w:val="00736C3B"/>
    <w:rsid w:val="00736C6C"/>
    <w:rsid w:val="00736FB0"/>
    <w:rsid w:val="00737098"/>
    <w:rsid w:val="00737F94"/>
    <w:rsid w:val="00737F99"/>
    <w:rsid w:val="00740A4D"/>
    <w:rsid w:val="00740C77"/>
    <w:rsid w:val="00741433"/>
    <w:rsid w:val="007416AE"/>
    <w:rsid w:val="00741D6D"/>
    <w:rsid w:val="00742750"/>
    <w:rsid w:val="0074336B"/>
    <w:rsid w:val="00743483"/>
    <w:rsid w:val="00743CDE"/>
    <w:rsid w:val="00743DC1"/>
    <w:rsid w:val="00744052"/>
    <w:rsid w:val="00744854"/>
    <w:rsid w:val="00744CEB"/>
    <w:rsid w:val="00745011"/>
    <w:rsid w:val="007469DE"/>
    <w:rsid w:val="00746BBD"/>
    <w:rsid w:val="00747BC4"/>
    <w:rsid w:val="0075009B"/>
    <w:rsid w:val="007500C8"/>
    <w:rsid w:val="00750960"/>
    <w:rsid w:val="007516C7"/>
    <w:rsid w:val="007521C0"/>
    <w:rsid w:val="0075288F"/>
    <w:rsid w:val="00752B75"/>
    <w:rsid w:val="0075314E"/>
    <w:rsid w:val="00753308"/>
    <w:rsid w:val="00753608"/>
    <w:rsid w:val="007538DE"/>
    <w:rsid w:val="00753915"/>
    <w:rsid w:val="00753932"/>
    <w:rsid w:val="00754104"/>
    <w:rsid w:val="007548F1"/>
    <w:rsid w:val="00754E65"/>
    <w:rsid w:val="0075505A"/>
    <w:rsid w:val="0075587B"/>
    <w:rsid w:val="007559D6"/>
    <w:rsid w:val="00755BE5"/>
    <w:rsid w:val="00756622"/>
    <w:rsid w:val="00756BFD"/>
    <w:rsid w:val="00756BFF"/>
    <w:rsid w:val="00756E38"/>
    <w:rsid w:val="00756F93"/>
    <w:rsid w:val="007572AF"/>
    <w:rsid w:val="0075761D"/>
    <w:rsid w:val="00757B89"/>
    <w:rsid w:val="00757FBD"/>
    <w:rsid w:val="00760005"/>
    <w:rsid w:val="0076038A"/>
    <w:rsid w:val="007603C6"/>
    <w:rsid w:val="00760879"/>
    <w:rsid w:val="0076105E"/>
    <w:rsid w:val="00761758"/>
    <w:rsid w:val="0076177C"/>
    <w:rsid w:val="00761917"/>
    <w:rsid w:val="00761C3F"/>
    <w:rsid w:val="00761C9F"/>
    <w:rsid w:val="00762BBC"/>
    <w:rsid w:val="00762C99"/>
    <w:rsid w:val="00762DB0"/>
    <w:rsid w:val="007635D1"/>
    <w:rsid w:val="00763C98"/>
    <w:rsid w:val="00763DAB"/>
    <w:rsid w:val="00764111"/>
    <w:rsid w:val="0076446B"/>
    <w:rsid w:val="007647AC"/>
    <w:rsid w:val="00764A58"/>
    <w:rsid w:val="00764B31"/>
    <w:rsid w:val="00764B42"/>
    <w:rsid w:val="00764C5C"/>
    <w:rsid w:val="007650A3"/>
    <w:rsid w:val="00765180"/>
    <w:rsid w:val="00766715"/>
    <w:rsid w:val="0076675D"/>
    <w:rsid w:val="007700B0"/>
    <w:rsid w:val="007707B1"/>
    <w:rsid w:val="007707CB"/>
    <w:rsid w:val="00770BA0"/>
    <w:rsid w:val="00770DFB"/>
    <w:rsid w:val="00771125"/>
    <w:rsid w:val="007712AE"/>
    <w:rsid w:val="007712C5"/>
    <w:rsid w:val="00771A45"/>
    <w:rsid w:val="007723E1"/>
    <w:rsid w:val="00773180"/>
    <w:rsid w:val="00773691"/>
    <w:rsid w:val="007736AF"/>
    <w:rsid w:val="007737B6"/>
    <w:rsid w:val="00773D15"/>
    <w:rsid w:val="007752CD"/>
    <w:rsid w:val="00775302"/>
    <w:rsid w:val="007755E9"/>
    <w:rsid w:val="00775C0E"/>
    <w:rsid w:val="00775E19"/>
    <w:rsid w:val="007769EA"/>
    <w:rsid w:val="00777D24"/>
    <w:rsid w:val="00780F0C"/>
    <w:rsid w:val="00781022"/>
    <w:rsid w:val="00781711"/>
    <w:rsid w:val="00781792"/>
    <w:rsid w:val="00781FE3"/>
    <w:rsid w:val="00782095"/>
    <w:rsid w:val="00782D41"/>
    <w:rsid w:val="007833A3"/>
    <w:rsid w:val="007834EA"/>
    <w:rsid w:val="00783CA0"/>
    <w:rsid w:val="00783D6D"/>
    <w:rsid w:val="00783F77"/>
    <w:rsid w:val="00783FDF"/>
    <w:rsid w:val="00784687"/>
    <w:rsid w:val="007849A6"/>
    <w:rsid w:val="00784D43"/>
    <w:rsid w:val="00785229"/>
    <w:rsid w:val="00785F5C"/>
    <w:rsid w:val="00785FB9"/>
    <w:rsid w:val="007865B6"/>
    <w:rsid w:val="0078667E"/>
    <w:rsid w:val="00786A8F"/>
    <w:rsid w:val="00786B35"/>
    <w:rsid w:val="00786F16"/>
    <w:rsid w:val="00786F95"/>
    <w:rsid w:val="00787421"/>
    <w:rsid w:val="00787A11"/>
    <w:rsid w:val="007901B6"/>
    <w:rsid w:val="00790793"/>
    <w:rsid w:val="00790A65"/>
    <w:rsid w:val="00790C44"/>
    <w:rsid w:val="00790DAF"/>
    <w:rsid w:val="00791195"/>
    <w:rsid w:val="00791739"/>
    <w:rsid w:val="00791C99"/>
    <w:rsid w:val="007928EC"/>
    <w:rsid w:val="00792D60"/>
    <w:rsid w:val="0079323D"/>
    <w:rsid w:val="00794791"/>
    <w:rsid w:val="007949B0"/>
    <w:rsid w:val="00794C23"/>
    <w:rsid w:val="007955C0"/>
    <w:rsid w:val="00795674"/>
    <w:rsid w:val="007956A1"/>
    <w:rsid w:val="007956DB"/>
    <w:rsid w:val="00795B8B"/>
    <w:rsid w:val="00795FE7"/>
    <w:rsid w:val="00796311"/>
    <w:rsid w:val="00796999"/>
    <w:rsid w:val="007969F0"/>
    <w:rsid w:val="007969F2"/>
    <w:rsid w:val="00796A5B"/>
    <w:rsid w:val="00796E7C"/>
    <w:rsid w:val="007972CE"/>
    <w:rsid w:val="00797368"/>
    <w:rsid w:val="00797A0B"/>
    <w:rsid w:val="00797A17"/>
    <w:rsid w:val="00797BC6"/>
    <w:rsid w:val="007A00CD"/>
    <w:rsid w:val="007A0ED8"/>
    <w:rsid w:val="007A1434"/>
    <w:rsid w:val="007A1742"/>
    <w:rsid w:val="007A18F0"/>
    <w:rsid w:val="007A1A31"/>
    <w:rsid w:val="007A1D78"/>
    <w:rsid w:val="007A3242"/>
    <w:rsid w:val="007A3B1D"/>
    <w:rsid w:val="007A3B76"/>
    <w:rsid w:val="007A3CD6"/>
    <w:rsid w:val="007A3EA8"/>
    <w:rsid w:val="007A40A3"/>
    <w:rsid w:val="007A4C20"/>
    <w:rsid w:val="007A5194"/>
    <w:rsid w:val="007A53B3"/>
    <w:rsid w:val="007A54F1"/>
    <w:rsid w:val="007A5D2A"/>
    <w:rsid w:val="007A5E81"/>
    <w:rsid w:val="007A629F"/>
    <w:rsid w:val="007A692D"/>
    <w:rsid w:val="007A6C7C"/>
    <w:rsid w:val="007A7960"/>
    <w:rsid w:val="007B0D13"/>
    <w:rsid w:val="007B1291"/>
    <w:rsid w:val="007B1337"/>
    <w:rsid w:val="007B14E5"/>
    <w:rsid w:val="007B188D"/>
    <w:rsid w:val="007B1E54"/>
    <w:rsid w:val="007B26CA"/>
    <w:rsid w:val="007B304D"/>
    <w:rsid w:val="007B30A9"/>
    <w:rsid w:val="007B3819"/>
    <w:rsid w:val="007B4A40"/>
    <w:rsid w:val="007B5746"/>
    <w:rsid w:val="007B5A26"/>
    <w:rsid w:val="007B5EB8"/>
    <w:rsid w:val="007B61CB"/>
    <w:rsid w:val="007B7123"/>
    <w:rsid w:val="007B71DC"/>
    <w:rsid w:val="007B72EE"/>
    <w:rsid w:val="007C0236"/>
    <w:rsid w:val="007C0963"/>
    <w:rsid w:val="007C0D0D"/>
    <w:rsid w:val="007C0FE1"/>
    <w:rsid w:val="007C1029"/>
    <w:rsid w:val="007C11F0"/>
    <w:rsid w:val="007C195D"/>
    <w:rsid w:val="007C1D4D"/>
    <w:rsid w:val="007C2365"/>
    <w:rsid w:val="007C249B"/>
    <w:rsid w:val="007C2B4F"/>
    <w:rsid w:val="007C2BBD"/>
    <w:rsid w:val="007C30BD"/>
    <w:rsid w:val="007C35C5"/>
    <w:rsid w:val="007C3A81"/>
    <w:rsid w:val="007C3A9A"/>
    <w:rsid w:val="007C4D0F"/>
    <w:rsid w:val="007C5A3D"/>
    <w:rsid w:val="007C5BD6"/>
    <w:rsid w:val="007C5F42"/>
    <w:rsid w:val="007C6BDB"/>
    <w:rsid w:val="007C71B4"/>
    <w:rsid w:val="007C726E"/>
    <w:rsid w:val="007C762A"/>
    <w:rsid w:val="007C78F6"/>
    <w:rsid w:val="007C7ADC"/>
    <w:rsid w:val="007D009C"/>
    <w:rsid w:val="007D0108"/>
    <w:rsid w:val="007D0701"/>
    <w:rsid w:val="007D10CF"/>
    <w:rsid w:val="007D1479"/>
    <w:rsid w:val="007D24F0"/>
    <w:rsid w:val="007D3A8E"/>
    <w:rsid w:val="007D4DD5"/>
    <w:rsid w:val="007D513F"/>
    <w:rsid w:val="007D5716"/>
    <w:rsid w:val="007D59C6"/>
    <w:rsid w:val="007D5C1B"/>
    <w:rsid w:val="007D5C28"/>
    <w:rsid w:val="007D5D49"/>
    <w:rsid w:val="007D5FE6"/>
    <w:rsid w:val="007D6184"/>
    <w:rsid w:val="007D68C1"/>
    <w:rsid w:val="007D6A73"/>
    <w:rsid w:val="007D6E22"/>
    <w:rsid w:val="007D70AC"/>
    <w:rsid w:val="007D7553"/>
    <w:rsid w:val="007D773C"/>
    <w:rsid w:val="007D7910"/>
    <w:rsid w:val="007D7BA0"/>
    <w:rsid w:val="007E0600"/>
    <w:rsid w:val="007E0DC8"/>
    <w:rsid w:val="007E1A27"/>
    <w:rsid w:val="007E1F1A"/>
    <w:rsid w:val="007E2113"/>
    <w:rsid w:val="007E29B3"/>
    <w:rsid w:val="007E2A4B"/>
    <w:rsid w:val="007E2E54"/>
    <w:rsid w:val="007E3387"/>
    <w:rsid w:val="007E33D1"/>
    <w:rsid w:val="007E3570"/>
    <w:rsid w:val="007E358D"/>
    <w:rsid w:val="007E3907"/>
    <w:rsid w:val="007E3EF4"/>
    <w:rsid w:val="007E40FC"/>
    <w:rsid w:val="007E4528"/>
    <w:rsid w:val="007E503C"/>
    <w:rsid w:val="007E50F0"/>
    <w:rsid w:val="007E5D53"/>
    <w:rsid w:val="007E5F3D"/>
    <w:rsid w:val="007E6226"/>
    <w:rsid w:val="007E6400"/>
    <w:rsid w:val="007E6587"/>
    <w:rsid w:val="007E6925"/>
    <w:rsid w:val="007E70F1"/>
    <w:rsid w:val="007E7A11"/>
    <w:rsid w:val="007E7A76"/>
    <w:rsid w:val="007F0A4C"/>
    <w:rsid w:val="007F1698"/>
    <w:rsid w:val="007F1F1F"/>
    <w:rsid w:val="007F21C9"/>
    <w:rsid w:val="007F2283"/>
    <w:rsid w:val="007F263E"/>
    <w:rsid w:val="007F31A4"/>
    <w:rsid w:val="007F38BD"/>
    <w:rsid w:val="007F3E64"/>
    <w:rsid w:val="007F48A9"/>
    <w:rsid w:val="007F4C7D"/>
    <w:rsid w:val="007F5227"/>
    <w:rsid w:val="007F53B7"/>
    <w:rsid w:val="007F578F"/>
    <w:rsid w:val="007F5A8B"/>
    <w:rsid w:val="007F5E0E"/>
    <w:rsid w:val="007F623E"/>
    <w:rsid w:val="007F63D6"/>
    <w:rsid w:val="007F65A5"/>
    <w:rsid w:val="007F676F"/>
    <w:rsid w:val="007F6D86"/>
    <w:rsid w:val="007F7CAF"/>
    <w:rsid w:val="007F7F4C"/>
    <w:rsid w:val="00800434"/>
    <w:rsid w:val="008004D1"/>
    <w:rsid w:val="00801818"/>
    <w:rsid w:val="00801898"/>
    <w:rsid w:val="00801AD8"/>
    <w:rsid w:val="00801C07"/>
    <w:rsid w:val="00801DD8"/>
    <w:rsid w:val="00802026"/>
    <w:rsid w:val="0080236A"/>
    <w:rsid w:val="0080237C"/>
    <w:rsid w:val="008024BA"/>
    <w:rsid w:val="0080251F"/>
    <w:rsid w:val="00803A4D"/>
    <w:rsid w:val="00803E06"/>
    <w:rsid w:val="00804028"/>
    <w:rsid w:val="008042E7"/>
    <w:rsid w:val="00804545"/>
    <w:rsid w:val="00804654"/>
    <w:rsid w:val="008049F5"/>
    <w:rsid w:val="0080528E"/>
    <w:rsid w:val="00805668"/>
    <w:rsid w:val="00805B06"/>
    <w:rsid w:val="00805B0C"/>
    <w:rsid w:val="00806323"/>
    <w:rsid w:val="008067B6"/>
    <w:rsid w:val="008067DA"/>
    <w:rsid w:val="00806D70"/>
    <w:rsid w:val="00806F22"/>
    <w:rsid w:val="00807091"/>
    <w:rsid w:val="00807120"/>
    <w:rsid w:val="0080788E"/>
    <w:rsid w:val="00807926"/>
    <w:rsid w:val="0080797E"/>
    <w:rsid w:val="00807B23"/>
    <w:rsid w:val="00807FEA"/>
    <w:rsid w:val="0081005D"/>
    <w:rsid w:val="00810A1C"/>
    <w:rsid w:val="008112DE"/>
    <w:rsid w:val="0081132A"/>
    <w:rsid w:val="00811546"/>
    <w:rsid w:val="00811840"/>
    <w:rsid w:val="00811AFB"/>
    <w:rsid w:val="00811DA3"/>
    <w:rsid w:val="00811DDB"/>
    <w:rsid w:val="00812093"/>
    <w:rsid w:val="008128F3"/>
    <w:rsid w:val="00812E1A"/>
    <w:rsid w:val="00813160"/>
    <w:rsid w:val="00813616"/>
    <w:rsid w:val="00813874"/>
    <w:rsid w:val="00813A6B"/>
    <w:rsid w:val="00814992"/>
    <w:rsid w:val="0081531B"/>
    <w:rsid w:val="00815584"/>
    <w:rsid w:val="008156FB"/>
    <w:rsid w:val="008159BE"/>
    <w:rsid w:val="00815A32"/>
    <w:rsid w:val="00815D0B"/>
    <w:rsid w:val="00816660"/>
    <w:rsid w:val="008174EB"/>
    <w:rsid w:val="00817B22"/>
    <w:rsid w:val="00817C8F"/>
    <w:rsid w:val="00817D9B"/>
    <w:rsid w:val="008203C1"/>
    <w:rsid w:val="00820B47"/>
    <w:rsid w:val="008216BE"/>
    <w:rsid w:val="00821A29"/>
    <w:rsid w:val="008228DD"/>
    <w:rsid w:val="00822917"/>
    <w:rsid w:val="00822F05"/>
    <w:rsid w:val="008231DE"/>
    <w:rsid w:val="00823DF0"/>
    <w:rsid w:val="008243D1"/>
    <w:rsid w:val="008244ED"/>
    <w:rsid w:val="00824AAA"/>
    <w:rsid w:val="00824BE4"/>
    <w:rsid w:val="0082521B"/>
    <w:rsid w:val="00825461"/>
    <w:rsid w:val="008256E5"/>
    <w:rsid w:val="008259C9"/>
    <w:rsid w:val="00825DED"/>
    <w:rsid w:val="00825E15"/>
    <w:rsid w:val="00826088"/>
    <w:rsid w:val="00827440"/>
    <w:rsid w:val="00827B3A"/>
    <w:rsid w:val="00827FAC"/>
    <w:rsid w:val="00830982"/>
    <w:rsid w:val="00830B61"/>
    <w:rsid w:val="00831B3D"/>
    <w:rsid w:val="00831DA3"/>
    <w:rsid w:val="00831EC0"/>
    <w:rsid w:val="0083203D"/>
    <w:rsid w:val="00832235"/>
    <w:rsid w:val="00832AB7"/>
    <w:rsid w:val="00832BD2"/>
    <w:rsid w:val="00833B28"/>
    <w:rsid w:val="00834404"/>
    <w:rsid w:val="008346C8"/>
    <w:rsid w:val="00835332"/>
    <w:rsid w:val="0083583E"/>
    <w:rsid w:val="00836146"/>
    <w:rsid w:val="00836716"/>
    <w:rsid w:val="00836E1A"/>
    <w:rsid w:val="00837811"/>
    <w:rsid w:val="00837D4E"/>
    <w:rsid w:val="0084013A"/>
    <w:rsid w:val="00840751"/>
    <w:rsid w:val="00840A17"/>
    <w:rsid w:val="00840E0E"/>
    <w:rsid w:val="00841099"/>
    <w:rsid w:val="008410FA"/>
    <w:rsid w:val="00841255"/>
    <w:rsid w:val="008416DA"/>
    <w:rsid w:val="00841702"/>
    <w:rsid w:val="00842095"/>
    <w:rsid w:val="00842172"/>
    <w:rsid w:val="0084223E"/>
    <w:rsid w:val="008422CE"/>
    <w:rsid w:val="00842307"/>
    <w:rsid w:val="00842BCD"/>
    <w:rsid w:val="00843100"/>
    <w:rsid w:val="00843178"/>
    <w:rsid w:val="00845102"/>
    <w:rsid w:val="00845108"/>
    <w:rsid w:val="00845222"/>
    <w:rsid w:val="008454BC"/>
    <w:rsid w:val="00845854"/>
    <w:rsid w:val="008461DD"/>
    <w:rsid w:val="008461E3"/>
    <w:rsid w:val="00846630"/>
    <w:rsid w:val="00846E5C"/>
    <w:rsid w:val="00847456"/>
    <w:rsid w:val="008477A7"/>
    <w:rsid w:val="00847BA2"/>
    <w:rsid w:val="00847E4B"/>
    <w:rsid w:val="0085022E"/>
    <w:rsid w:val="00850558"/>
    <w:rsid w:val="00850928"/>
    <w:rsid w:val="00851164"/>
    <w:rsid w:val="0085143D"/>
    <w:rsid w:val="008514B7"/>
    <w:rsid w:val="00851A94"/>
    <w:rsid w:val="0085266B"/>
    <w:rsid w:val="00852B24"/>
    <w:rsid w:val="008530C3"/>
    <w:rsid w:val="00853C2B"/>
    <w:rsid w:val="00854600"/>
    <w:rsid w:val="00854AC1"/>
    <w:rsid w:val="00854C5C"/>
    <w:rsid w:val="008557E5"/>
    <w:rsid w:val="008557E7"/>
    <w:rsid w:val="00855BBD"/>
    <w:rsid w:val="00855C35"/>
    <w:rsid w:val="00855F66"/>
    <w:rsid w:val="00855FDD"/>
    <w:rsid w:val="008560D4"/>
    <w:rsid w:val="00856147"/>
    <w:rsid w:val="008563F5"/>
    <w:rsid w:val="008567C4"/>
    <w:rsid w:val="00856C9F"/>
    <w:rsid w:val="00856D17"/>
    <w:rsid w:val="00856D6C"/>
    <w:rsid w:val="00857986"/>
    <w:rsid w:val="00857C6C"/>
    <w:rsid w:val="008601D7"/>
    <w:rsid w:val="008601F3"/>
    <w:rsid w:val="00860B1D"/>
    <w:rsid w:val="00861043"/>
    <w:rsid w:val="00861306"/>
    <w:rsid w:val="00861530"/>
    <w:rsid w:val="008615A6"/>
    <w:rsid w:val="00861E06"/>
    <w:rsid w:val="00861EDC"/>
    <w:rsid w:val="00862451"/>
    <w:rsid w:val="00862780"/>
    <w:rsid w:val="008628DB"/>
    <w:rsid w:val="0086298D"/>
    <w:rsid w:val="00863332"/>
    <w:rsid w:val="0086369E"/>
    <w:rsid w:val="0086399A"/>
    <w:rsid w:val="00863A5A"/>
    <w:rsid w:val="00863BAF"/>
    <w:rsid w:val="00864075"/>
    <w:rsid w:val="00864E80"/>
    <w:rsid w:val="0086544F"/>
    <w:rsid w:val="008659A6"/>
    <w:rsid w:val="00865D12"/>
    <w:rsid w:val="008662D7"/>
    <w:rsid w:val="00866D81"/>
    <w:rsid w:val="00866F71"/>
    <w:rsid w:val="00867274"/>
    <w:rsid w:val="00867B79"/>
    <w:rsid w:val="00867F29"/>
    <w:rsid w:val="00870264"/>
    <w:rsid w:val="00870963"/>
    <w:rsid w:val="008710CD"/>
    <w:rsid w:val="00871165"/>
    <w:rsid w:val="00871669"/>
    <w:rsid w:val="00871C19"/>
    <w:rsid w:val="00872674"/>
    <w:rsid w:val="00872BC8"/>
    <w:rsid w:val="00873E28"/>
    <w:rsid w:val="0087419E"/>
    <w:rsid w:val="00874E3B"/>
    <w:rsid w:val="008754A8"/>
    <w:rsid w:val="00875D33"/>
    <w:rsid w:val="0087622D"/>
    <w:rsid w:val="008765C9"/>
    <w:rsid w:val="00876689"/>
    <w:rsid w:val="00876E90"/>
    <w:rsid w:val="00876F67"/>
    <w:rsid w:val="00876FB1"/>
    <w:rsid w:val="008770CB"/>
    <w:rsid w:val="00877641"/>
    <w:rsid w:val="008808AE"/>
    <w:rsid w:val="00880DF9"/>
    <w:rsid w:val="0088193D"/>
    <w:rsid w:val="008826F5"/>
    <w:rsid w:val="00882C22"/>
    <w:rsid w:val="00882C39"/>
    <w:rsid w:val="0088305E"/>
    <w:rsid w:val="008832B6"/>
    <w:rsid w:val="008835F6"/>
    <w:rsid w:val="008839D6"/>
    <w:rsid w:val="00883AE8"/>
    <w:rsid w:val="00883D40"/>
    <w:rsid w:val="0088420C"/>
    <w:rsid w:val="00884225"/>
    <w:rsid w:val="00884465"/>
    <w:rsid w:val="00884BBB"/>
    <w:rsid w:val="00884CF8"/>
    <w:rsid w:val="0088589F"/>
    <w:rsid w:val="00885AEB"/>
    <w:rsid w:val="00885E9E"/>
    <w:rsid w:val="0088626E"/>
    <w:rsid w:val="008866B2"/>
    <w:rsid w:val="00886B9A"/>
    <w:rsid w:val="00887607"/>
    <w:rsid w:val="008877C6"/>
    <w:rsid w:val="008878F9"/>
    <w:rsid w:val="00887A7A"/>
    <w:rsid w:val="00887E37"/>
    <w:rsid w:val="00890784"/>
    <w:rsid w:val="00890E02"/>
    <w:rsid w:val="00890FF6"/>
    <w:rsid w:val="00891BA5"/>
    <w:rsid w:val="00891CC4"/>
    <w:rsid w:val="00891D39"/>
    <w:rsid w:val="00891D84"/>
    <w:rsid w:val="008920A6"/>
    <w:rsid w:val="008922C4"/>
    <w:rsid w:val="00892EC9"/>
    <w:rsid w:val="00893E25"/>
    <w:rsid w:val="00893FFE"/>
    <w:rsid w:val="00894812"/>
    <w:rsid w:val="0089496B"/>
    <w:rsid w:val="00895ABA"/>
    <w:rsid w:val="00895EAD"/>
    <w:rsid w:val="008963DB"/>
    <w:rsid w:val="00896C38"/>
    <w:rsid w:val="00896E2F"/>
    <w:rsid w:val="00897772"/>
    <w:rsid w:val="00897EC2"/>
    <w:rsid w:val="008A05A0"/>
    <w:rsid w:val="008A0B68"/>
    <w:rsid w:val="008A174B"/>
    <w:rsid w:val="008A1A5C"/>
    <w:rsid w:val="008A2A69"/>
    <w:rsid w:val="008A2F00"/>
    <w:rsid w:val="008A371B"/>
    <w:rsid w:val="008A3741"/>
    <w:rsid w:val="008A3B86"/>
    <w:rsid w:val="008A3F44"/>
    <w:rsid w:val="008A3F4F"/>
    <w:rsid w:val="008A4A78"/>
    <w:rsid w:val="008A5078"/>
    <w:rsid w:val="008A51C0"/>
    <w:rsid w:val="008A587A"/>
    <w:rsid w:val="008A5C62"/>
    <w:rsid w:val="008A6036"/>
    <w:rsid w:val="008A6DC0"/>
    <w:rsid w:val="008A7BA8"/>
    <w:rsid w:val="008B07A3"/>
    <w:rsid w:val="008B0F92"/>
    <w:rsid w:val="008B11D5"/>
    <w:rsid w:val="008B15A9"/>
    <w:rsid w:val="008B19F6"/>
    <w:rsid w:val="008B1BC7"/>
    <w:rsid w:val="008B2043"/>
    <w:rsid w:val="008B2287"/>
    <w:rsid w:val="008B2476"/>
    <w:rsid w:val="008B2577"/>
    <w:rsid w:val="008B28EA"/>
    <w:rsid w:val="008B3B66"/>
    <w:rsid w:val="008B49E5"/>
    <w:rsid w:val="008B664E"/>
    <w:rsid w:val="008B6672"/>
    <w:rsid w:val="008B66D1"/>
    <w:rsid w:val="008B66D7"/>
    <w:rsid w:val="008B6A91"/>
    <w:rsid w:val="008B6AB1"/>
    <w:rsid w:val="008B7232"/>
    <w:rsid w:val="008B73D1"/>
    <w:rsid w:val="008B7970"/>
    <w:rsid w:val="008B7C48"/>
    <w:rsid w:val="008B7F02"/>
    <w:rsid w:val="008C0551"/>
    <w:rsid w:val="008C0DD8"/>
    <w:rsid w:val="008C17FE"/>
    <w:rsid w:val="008C1802"/>
    <w:rsid w:val="008C18DF"/>
    <w:rsid w:val="008C1F28"/>
    <w:rsid w:val="008C2972"/>
    <w:rsid w:val="008C2C7D"/>
    <w:rsid w:val="008C389E"/>
    <w:rsid w:val="008C3915"/>
    <w:rsid w:val="008C396E"/>
    <w:rsid w:val="008C3EBD"/>
    <w:rsid w:val="008C5400"/>
    <w:rsid w:val="008C5A10"/>
    <w:rsid w:val="008C5B07"/>
    <w:rsid w:val="008C6773"/>
    <w:rsid w:val="008C6812"/>
    <w:rsid w:val="008C6CA5"/>
    <w:rsid w:val="008C745A"/>
    <w:rsid w:val="008C7623"/>
    <w:rsid w:val="008D04D9"/>
    <w:rsid w:val="008D0813"/>
    <w:rsid w:val="008D0C01"/>
    <w:rsid w:val="008D1252"/>
    <w:rsid w:val="008D170E"/>
    <w:rsid w:val="008D1B89"/>
    <w:rsid w:val="008D27CC"/>
    <w:rsid w:val="008D28C8"/>
    <w:rsid w:val="008D297D"/>
    <w:rsid w:val="008D2B63"/>
    <w:rsid w:val="008D2C23"/>
    <w:rsid w:val="008D2C25"/>
    <w:rsid w:val="008D2EE7"/>
    <w:rsid w:val="008D2FE1"/>
    <w:rsid w:val="008D3065"/>
    <w:rsid w:val="008D3F2E"/>
    <w:rsid w:val="008D4DE3"/>
    <w:rsid w:val="008D5EE7"/>
    <w:rsid w:val="008D68AB"/>
    <w:rsid w:val="008D7613"/>
    <w:rsid w:val="008D7732"/>
    <w:rsid w:val="008D7787"/>
    <w:rsid w:val="008D7E5B"/>
    <w:rsid w:val="008D7FD5"/>
    <w:rsid w:val="008E0852"/>
    <w:rsid w:val="008E089D"/>
    <w:rsid w:val="008E0B51"/>
    <w:rsid w:val="008E0C69"/>
    <w:rsid w:val="008E156B"/>
    <w:rsid w:val="008E17E3"/>
    <w:rsid w:val="008E1A20"/>
    <w:rsid w:val="008E1D03"/>
    <w:rsid w:val="008E1E3A"/>
    <w:rsid w:val="008E1F0F"/>
    <w:rsid w:val="008E23F1"/>
    <w:rsid w:val="008E2A8F"/>
    <w:rsid w:val="008E31B0"/>
    <w:rsid w:val="008E325D"/>
    <w:rsid w:val="008E49AC"/>
    <w:rsid w:val="008E509B"/>
    <w:rsid w:val="008E616A"/>
    <w:rsid w:val="008E65B9"/>
    <w:rsid w:val="008E688C"/>
    <w:rsid w:val="008E6979"/>
    <w:rsid w:val="008E6E75"/>
    <w:rsid w:val="008E6EFC"/>
    <w:rsid w:val="008E7897"/>
    <w:rsid w:val="008E79C2"/>
    <w:rsid w:val="008F0651"/>
    <w:rsid w:val="008F0CEA"/>
    <w:rsid w:val="008F1D18"/>
    <w:rsid w:val="008F1DCA"/>
    <w:rsid w:val="008F202B"/>
    <w:rsid w:val="008F23C4"/>
    <w:rsid w:val="008F2B8D"/>
    <w:rsid w:val="008F31A0"/>
    <w:rsid w:val="008F34F9"/>
    <w:rsid w:val="008F3F91"/>
    <w:rsid w:val="008F4B78"/>
    <w:rsid w:val="008F5891"/>
    <w:rsid w:val="008F67B5"/>
    <w:rsid w:val="008F6D0D"/>
    <w:rsid w:val="008F6DCB"/>
    <w:rsid w:val="008F7371"/>
    <w:rsid w:val="0090007F"/>
    <w:rsid w:val="0090008A"/>
    <w:rsid w:val="00900E62"/>
    <w:rsid w:val="00901629"/>
    <w:rsid w:val="0090173E"/>
    <w:rsid w:val="00901794"/>
    <w:rsid w:val="009028D6"/>
    <w:rsid w:val="00902B4D"/>
    <w:rsid w:val="009031F4"/>
    <w:rsid w:val="00903AF8"/>
    <w:rsid w:val="00903F27"/>
    <w:rsid w:val="00904122"/>
    <w:rsid w:val="00904209"/>
    <w:rsid w:val="009042A0"/>
    <w:rsid w:val="00904402"/>
    <w:rsid w:val="0090442B"/>
    <w:rsid w:val="00904492"/>
    <w:rsid w:val="0090455D"/>
    <w:rsid w:val="009047BB"/>
    <w:rsid w:val="0090496A"/>
    <w:rsid w:val="0090513C"/>
    <w:rsid w:val="00905363"/>
    <w:rsid w:val="009058C7"/>
    <w:rsid w:val="009067C6"/>
    <w:rsid w:val="0090681E"/>
    <w:rsid w:val="0090689C"/>
    <w:rsid w:val="00906ECD"/>
    <w:rsid w:val="00907E94"/>
    <w:rsid w:val="009102EB"/>
    <w:rsid w:val="009106C5"/>
    <w:rsid w:val="0091148B"/>
    <w:rsid w:val="00911A2B"/>
    <w:rsid w:val="00914217"/>
    <w:rsid w:val="00914FDD"/>
    <w:rsid w:val="00915B01"/>
    <w:rsid w:val="00915F2A"/>
    <w:rsid w:val="00916791"/>
    <w:rsid w:val="00916D71"/>
    <w:rsid w:val="00917291"/>
    <w:rsid w:val="00917A35"/>
    <w:rsid w:val="00917AAC"/>
    <w:rsid w:val="00917BDA"/>
    <w:rsid w:val="009203AD"/>
    <w:rsid w:val="009209F0"/>
    <w:rsid w:val="00920DB7"/>
    <w:rsid w:val="00921754"/>
    <w:rsid w:val="00922CF2"/>
    <w:rsid w:val="00923BCA"/>
    <w:rsid w:val="009242C9"/>
    <w:rsid w:val="009248D2"/>
    <w:rsid w:val="00924B6D"/>
    <w:rsid w:val="00925285"/>
    <w:rsid w:val="009254B0"/>
    <w:rsid w:val="00925E2D"/>
    <w:rsid w:val="00925EC7"/>
    <w:rsid w:val="0092620E"/>
    <w:rsid w:val="0092690F"/>
    <w:rsid w:val="0092732A"/>
    <w:rsid w:val="00927465"/>
    <w:rsid w:val="009274C3"/>
    <w:rsid w:val="00927A33"/>
    <w:rsid w:val="00927E1C"/>
    <w:rsid w:val="00930DD3"/>
    <w:rsid w:val="00931113"/>
    <w:rsid w:val="00931B1F"/>
    <w:rsid w:val="00931B39"/>
    <w:rsid w:val="00931BE7"/>
    <w:rsid w:val="00931F48"/>
    <w:rsid w:val="0093260F"/>
    <w:rsid w:val="00932649"/>
    <w:rsid w:val="0093269E"/>
    <w:rsid w:val="00932A13"/>
    <w:rsid w:val="00932C95"/>
    <w:rsid w:val="00932DDB"/>
    <w:rsid w:val="00933406"/>
    <w:rsid w:val="0093347E"/>
    <w:rsid w:val="00933910"/>
    <w:rsid w:val="00933948"/>
    <w:rsid w:val="00934553"/>
    <w:rsid w:val="009345EA"/>
    <w:rsid w:val="00934B2A"/>
    <w:rsid w:val="0093505B"/>
    <w:rsid w:val="00935087"/>
    <w:rsid w:val="00935333"/>
    <w:rsid w:val="00935B67"/>
    <w:rsid w:val="00935D29"/>
    <w:rsid w:val="00935DD5"/>
    <w:rsid w:val="00935DEE"/>
    <w:rsid w:val="00936AD3"/>
    <w:rsid w:val="00936BBC"/>
    <w:rsid w:val="00937BDC"/>
    <w:rsid w:val="00940767"/>
    <w:rsid w:val="00940BBE"/>
    <w:rsid w:val="00940F58"/>
    <w:rsid w:val="00941C62"/>
    <w:rsid w:val="00941E9E"/>
    <w:rsid w:val="0094358D"/>
    <w:rsid w:val="00944A15"/>
    <w:rsid w:val="0094631D"/>
    <w:rsid w:val="0094689A"/>
    <w:rsid w:val="009476FD"/>
    <w:rsid w:val="00947ED5"/>
    <w:rsid w:val="0095057D"/>
    <w:rsid w:val="009511DC"/>
    <w:rsid w:val="00951848"/>
    <w:rsid w:val="009518CF"/>
    <w:rsid w:val="00951DB4"/>
    <w:rsid w:val="00952615"/>
    <w:rsid w:val="0095265D"/>
    <w:rsid w:val="00953215"/>
    <w:rsid w:val="00953342"/>
    <w:rsid w:val="009544DF"/>
    <w:rsid w:val="0095469B"/>
    <w:rsid w:val="0095469C"/>
    <w:rsid w:val="00954C43"/>
    <w:rsid w:val="00954DFA"/>
    <w:rsid w:val="00954FFD"/>
    <w:rsid w:val="00955712"/>
    <w:rsid w:val="00955736"/>
    <w:rsid w:val="009559E5"/>
    <w:rsid w:val="00955DC7"/>
    <w:rsid w:val="00955FD6"/>
    <w:rsid w:val="00955FED"/>
    <w:rsid w:val="009564BB"/>
    <w:rsid w:val="00956651"/>
    <w:rsid w:val="00956A27"/>
    <w:rsid w:val="00956F87"/>
    <w:rsid w:val="00956FE3"/>
    <w:rsid w:val="0095787F"/>
    <w:rsid w:val="009609B3"/>
    <w:rsid w:val="009612FD"/>
    <w:rsid w:val="0096135A"/>
    <w:rsid w:val="00961B6F"/>
    <w:rsid w:val="00961ECA"/>
    <w:rsid w:val="0096293A"/>
    <w:rsid w:val="00962CCB"/>
    <w:rsid w:val="00962D09"/>
    <w:rsid w:val="0096334D"/>
    <w:rsid w:val="009634CA"/>
    <w:rsid w:val="00963799"/>
    <w:rsid w:val="009639B6"/>
    <w:rsid w:val="00963F1A"/>
    <w:rsid w:val="009640FF"/>
    <w:rsid w:val="0096440B"/>
    <w:rsid w:val="009646E9"/>
    <w:rsid w:val="009649D5"/>
    <w:rsid w:val="0096504E"/>
    <w:rsid w:val="0096553D"/>
    <w:rsid w:val="00965737"/>
    <w:rsid w:val="00965CE6"/>
    <w:rsid w:val="009661DB"/>
    <w:rsid w:val="00966A22"/>
    <w:rsid w:val="009673AC"/>
    <w:rsid w:val="00967454"/>
    <w:rsid w:val="00970A54"/>
    <w:rsid w:val="00971984"/>
    <w:rsid w:val="00971CAC"/>
    <w:rsid w:val="009722BE"/>
    <w:rsid w:val="00972E44"/>
    <w:rsid w:val="00973119"/>
    <w:rsid w:val="00973242"/>
    <w:rsid w:val="009732FE"/>
    <w:rsid w:val="0097392F"/>
    <w:rsid w:val="00974093"/>
    <w:rsid w:val="00974107"/>
    <w:rsid w:val="00975083"/>
    <w:rsid w:val="00975609"/>
    <w:rsid w:val="00975A95"/>
    <w:rsid w:val="00975F38"/>
    <w:rsid w:val="009760C2"/>
    <w:rsid w:val="009765C2"/>
    <w:rsid w:val="0097682C"/>
    <w:rsid w:val="00976B40"/>
    <w:rsid w:val="00976B58"/>
    <w:rsid w:val="00977346"/>
    <w:rsid w:val="00977970"/>
    <w:rsid w:val="009779D2"/>
    <w:rsid w:val="00977EE2"/>
    <w:rsid w:val="0098074A"/>
    <w:rsid w:val="0098118E"/>
    <w:rsid w:val="009812C0"/>
    <w:rsid w:val="00981885"/>
    <w:rsid w:val="00981D5E"/>
    <w:rsid w:val="00981E09"/>
    <w:rsid w:val="00981F01"/>
    <w:rsid w:val="0098240F"/>
    <w:rsid w:val="0098275F"/>
    <w:rsid w:val="00983621"/>
    <w:rsid w:val="00983873"/>
    <w:rsid w:val="00983C47"/>
    <w:rsid w:val="00983C67"/>
    <w:rsid w:val="00983F15"/>
    <w:rsid w:val="009841E7"/>
    <w:rsid w:val="009843EB"/>
    <w:rsid w:val="00984B2D"/>
    <w:rsid w:val="00984C6F"/>
    <w:rsid w:val="00985420"/>
    <w:rsid w:val="00985AF9"/>
    <w:rsid w:val="00985D92"/>
    <w:rsid w:val="009864C9"/>
    <w:rsid w:val="009866DE"/>
    <w:rsid w:val="00986974"/>
    <w:rsid w:val="00986B9B"/>
    <w:rsid w:val="00986BA5"/>
    <w:rsid w:val="0098738D"/>
    <w:rsid w:val="00987992"/>
    <w:rsid w:val="009879A4"/>
    <w:rsid w:val="00987DBA"/>
    <w:rsid w:val="00987F9F"/>
    <w:rsid w:val="009915D9"/>
    <w:rsid w:val="009918DE"/>
    <w:rsid w:val="00991AD7"/>
    <w:rsid w:val="00991C62"/>
    <w:rsid w:val="00992008"/>
    <w:rsid w:val="00992446"/>
    <w:rsid w:val="00992646"/>
    <w:rsid w:val="00992C7F"/>
    <w:rsid w:val="00993100"/>
    <w:rsid w:val="00993141"/>
    <w:rsid w:val="0099314F"/>
    <w:rsid w:val="009932C5"/>
    <w:rsid w:val="0099350A"/>
    <w:rsid w:val="00993C15"/>
    <w:rsid w:val="00994677"/>
    <w:rsid w:val="00994C65"/>
    <w:rsid w:val="00995BE2"/>
    <w:rsid w:val="00995D11"/>
    <w:rsid w:val="00996705"/>
    <w:rsid w:val="00996F3B"/>
    <w:rsid w:val="00997616"/>
    <w:rsid w:val="0099771B"/>
    <w:rsid w:val="0099796D"/>
    <w:rsid w:val="009A0108"/>
    <w:rsid w:val="009A0686"/>
    <w:rsid w:val="009A0A42"/>
    <w:rsid w:val="009A0ED2"/>
    <w:rsid w:val="009A1496"/>
    <w:rsid w:val="009A2D2E"/>
    <w:rsid w:val="009A5006"/>
    <w:rsid w:val="009A5076"/>
    <w:rsid w:val="009A6020"/>
    <w:rsid w:val="009A652D"/>
    <w:rsid w:val="009A688C"/>
    <w:rsid w:val="009A6A15"/>
    <w:rsid w:val="009A733E"/>
    <w:rsid w:val="009A7351"/>
    <w:rsid w:val="009A7B57"/>
    <w:rsid w:val="009A7E6C"/>
    <w:rsid w:val="009B0D41"/>
    <w:rsid w:val="009B1148"/>
    <w:rsid w:val="009B187D"/>
    <w:rsid w:val="009B1B0A"/>
    <w:rsid w:val="009B1BA2"/>
    <w:rsid w:val="009B24DC"/>
    <w:rsid w:val="009B2557"/>
    <w:rsid w:val="009B2C1F"/>
    <w:rsid w:val="009B2DE5"/>
    <w:rsid w:val="009B2E2F"/>
    <w:rsid w:val="009B472F"/>
    <w:rsid w:val="009B5384"/>
    <w:rsid w:val="009B590A"/>
    <w:rsid w:val="009B5940"/>
    <w:rsid w:val="009B66CB"/>
    <w:rsid w:val="009B6B36"/>
    <w:rsid w:val="009B6FC9"/>
    <w:rsid w:val="009B72EE"/>
    <w:rsid w:val="009B7640"/>
    <w:rsid w:val="009B79CD"/>
    <w:rsid w:val="009C0758"/>
    <w:rsid w:val="009C0ED7"/>
    <w:rsid w:val="009C14D7"/>
    <w:rsid w:val="009C2B3D"/>
    <w:rsid w:val="009C2FB8"/>
    <w:rsid w:val="009C326C"/>
    <w:rsid w:val="009C3544"/>
    <w:rsid w:val="009C3D63"/>
    <w:rsid w:val="009C4D7B"/>
    <w:rsid w:val="009C5281"/>
    <w:rsid w:val="009C52AA"/>
    <w:rsid w:val="009C564B"/>
    <w:rsid w:val="009C5BEA"/>
    <w:rsid w:val="009C5E7E"/>
    <w:rsid w:val="009C6470"/>
    <w:rsid w:val="009C6A40"/>
    <w:rsid w:val="009C6ECD"/>
    <w:rsid w:val="009C7796"/>
    <w:rsid w:val="009C79A4"/>
    <w:rsid w:val="009D061C"/>
    <w:rsid w:val="009D0665"/>
    <w:rsid w:val="009D0AE5"/>
    <w:rsid w:val="009D0BEF"/>
    <w:rsid w:val="009D0BFE"/>
    <w:rsid w:val="009D15CD"/>
    <w:rsid w:val="009D1F5B"/>
    <w:rsid w:val="009D2035"/>
    <w:rsid w:val="009D3835"/>
    <w:rsid w:val="009D3C4B"/>
    <w:rsid w:val="009D430C"/>
    <w:rsid w:val="009D4440"/>
    <w:rsid w:val="009D4924"/>
    <w:rsid w:val="009D4F6F"/>
    <w:rsid w:val="009D627B"/>
    <w:rsid w:val="009D65D0"/>
    <w:rsid w:val="009D6DCA"/>
    <w:rsid w:val="009D6F0A"/>
    <w:rsid w:val="009D7773"/>
    <w:rsid w:val="009D779F"/>
    <w:rsid w:val="009E078A"/>
    <w:rsid w:val="009E107B"/>
    <w:rsid w:val="009E1255"/>
    <w:rsid w:val="009E157B"/>
    <w:rsid w:val="009E1D33"/>
    <w:rsid w:val="009E1DB0"/>
    <w:rsid w:val="009E2416"/>
    <w:rsid w:val="009E282B"/>
    <w:rsid w:val="009E2915"/>
    <w:rsid w:val="009E2DC7"/>
    <w:rsid w:val="009E2E91"/>
    <w:rsid w:val="009E2EFA"/>
    <w:rsid w:val="009E35C4"/>
    <w:rsid w:val="009E3E3C"/>
    <w:rsid w:val="009E4558"/>
    <w:rsid w:val="009E4C62"/>
    <w:rsid w:val="009E4C79"/>
    <w:rsid w:val="009E4F27"/>
    <w:rsid w:val="009E70CB"/>
    <w:rsid w:val="009E75A3"/>
    <w:rsid w:val="009E7B09"/>
    <w:rsid w:val="009E7E94"/>
    <w:rsid w:val="009F04D5"/>
    <w:rsid w:val="009F0BE1"/>
    <w:rsid w:val="009F19C8"/>
    <w:rsid w:val="009F2880"/>
    <w:rsid w:val="009F2CE5"/>
    <w:rsid w:val="009F2FD2"/>
    <w:rsid w:val="009F3221"/>
    <w:rsid w:val="009F39AF"/>
    <w:rsid w:val="009F3C03"/>
    <w:rsid w:val="009F3D49"/>
    <w:rsid w:val="009F4138"/>
    <w:rsid w:val="009F42EF"/>
    <w:rsid w:val="009F4584"/>
    <w:rsid w:val="009F4907"/>
    <w:rsid w:val="009F4B61"/>
    <w:rsid w:val="009F4C16"/>
    <w:rsid w:val="009F50FE"/>
    <w:rsid w:val="009F5559"/>
    <w:rsid w:val="009F5E7F"/>
    <w:rsid w:val="009F625B"/>
    <w:rsid w:val="009F6940"/>
    <w:rsid w:val="009F6FD5"/>
    <w:rsid w:val="009F7EFD"/>
    <w:rsid w:val="00A002AD"/>
    <w:rsid w:val="00A0164E"/>
    <w:rsid w:val="00A022A9"/>
    <w:rsid w:val="00A0235E"/>
    <w:rsid w:val="00A02577"/>
    <w:rsid w:val="00A02A6D"/>
    <w:rsid w:val="00A02D5C"/>
    <w:rsid w:val="00A02EBA"/>
    <w:rsid w:val="00A03385"/>
    <w:rsid w:val="00A03493"/>
    <w:rsid w:val="00A0377D"/>
    <w:rsid w:val="00A03AF9"/>
    <w:rsid w:val="00A03E58"/>
    <w:rsid w:val="00A04413"/>
    <w:rsid w:val="00A04D0A"/>
    <w:rsid w:val="00A04EF7"/>
    <w:rsid w:val="00A0521A"/>
    <w:rsid w:val="00A05C0C"/>
    <w:rsid w:val="00A05CCE"/>
    <w:rsid w:val="00A06322"/>
    <w:rsid w:val="00A064DE"/>
    <w:rsid w:val="00A06BCA"/>
    <w:rsid w:val="00A07135"/>
    <w:rsid w:val="00A077CE"/>
    <w:rsid w:val="00A079D5"/>
    <w:rsid w:val="00A07E8E"/>
    <w:rsid w:val="00A10076"/>
    <w:rsid w:val="00A101E4"/>
    <w:rsid w:val="00A102A7"/>
    <w:rsid w:val="00A1069D"/>
    <w:rsid w:val="00A10823"/>
    <w:rsid w:val="00A110E0"/>
    <w:rsid w:val="00A112CD"/>
    <w:rsid w:val="00A11740"/>
    <w:rsid w:val="00A11901"/>
    <w:rsid w:val="00A11B88"/>
    <w:rsid w:val="00A120C2"/>
    <w:rsid w:val="00A12578"/>
    <w:rsid w:val="00A12630"/>
    <w:rsid w:val="00A126DA"/>
    <w:rsid w:val="00A1281E"/>
    <w:rsid w:val="00A12A8D"/>
    <w:rsid w:val="00A12B26"/>
    <w:rsid w:val="00A13166"/>
    <w:rsid w:val="00A13203"/>
    <w:rsid w:val="00A13B87"/>
    <w:rsid w:val="00A13F49"/>
    <w:rsid w:val="00A14273"/>
    <w:rsid w:val="00A14A83"/>
    <w:rsid w:val="00A14C17"/>
    <w:rsid w:val="00A156D4"/>
    <w:rsid w:val="00A15AA5"/>
    <w:rsid w:val="00A15ACE"/>
    <w:rsid w:val="00A15E99"/>
    <w:rsid w:val="00A15F20"/>
    <w:rsid w:val="00A161CC"/>
    <w:rsid w:val="00A164B7"/>
    <w:rsid w:val="00A1651C"/>
    <w:rsid w:val="00A16600"/>
    <w:rsid w:val="00A16A80"/>
    <w:rsid w:val="00A178A6"/>
    <w:rsid w:val="00A17B34"/>
    <w:rsid w:val="00A17C4B"/>
    <w:rsid w:val="00A17DDC"/>
    <w:rsid w:val="00A17DF2"/>
    <w:rsid w:val="00A200C1"/>
    <w:rsid w:val="00A2027D"/>
    <w:rsid w:val="00A202FC"/>
    <w:rsid w:val="00A2074B"/>
    <w:rsid w:val="00A21426"/>
    <w:rsid w:val="00A2155F"/>
    <w:rsid w:val="00A21BA6"/>
    <w:rsid w:val="00A22E96"/>
    <w:rsid w:val="00A236F1"/>
    <w:rsid w:val="00A23EE4"/>
    <w:rsid w:val="00A24166"/>
    <w:rsid w:val="00A24401"/>
    <w:rsid w:val="00A245EA"/>
    <w:rsid w:val="00A24622"/>
    <w:rsid w:val="00A24A39"/>
    <w:rsid w:val="00A253F8"/>
    <w:rsid w:val="00A259FF"/>
    <w:rsid w:val="00A25CCF"/>
    <w:rsid w:val="00A25DB4"/>
    <w:rsid w:val="00A25F5B"/>
    <w:rsid w:val="00A2612E"/>
    <w:rsid w:val="00A2696C"/>
    <w:rsid w:val="00A269B0"/>
    <w:rsid w:val="00A26EB6"/>
    <w:rsid w:val="00A26EF4"/>
    <w:rsid w:val="00A26F50"/>
    <w:rsid w:val="00A27016"/>
    <w:rsid w:val="00A27215"/>
    <w:rsid w:val="00A27737"/>
    <w:rsid w:val="00A278B7"/>
    <w:rsid w:val="00A27AF7"/>
    <w:rsid w:val="00A30E32"/>
    <w:rsid w:val="00A31349"/>
    <w:rsid w:val="00A31B09"/>
    <w:rsid w:val="00A32295"/>
    <w:rsid w:val="00A32869"/>
    <w:rsid w:val="00A32D91"/>
    <w:rsid w:val="00A333E0"/>
    <w:rsid w:val="00A33D9C"/>
    <w:rsid w:val="00A34A80"/>
    <w:rsid w:val="00A34AEB"/>
    <w:rsid w:val="00A34C40"/>
    <w:rsid w:val="00A3547B"/>
    <w:rsid w:val="00A36263"/>
    <w:rsid w:val="00A3653A"/>
    <w:rsid w:val="00A36AE7"/>
    <w:rsid w:val="00A36DBB"/>
    <w:rsid w:val="00A371ED"/>
    <w:rsid w:val="00A375A9"/>
    <w:rsid w:val="00A378C6"/>
    <w:rsid w:val="00A378E2"/>
    <w:rsid w:val="00A379A6"/>
    <w:rsid w:val="00A37AAE"/>
    <w:rsid w:val="00A37DD5"/>
    <w:rsid w:val="00A400F3"/>
    <w:rsid w:val="00A403B4"/>
    <w:rsid w:val="00A40CC4"/>
    <w:rsid w:val="00A41C48"/>
    <w:rsid w:val="00A42846"/>
    <w:rsid w:val="00A42C06"/>
    <w:rsid w:val="00A42DF2"/>
    <w:rsid w:val="00A42E9F"/>
    <w:rsid w:val="00A42EBA"/>
    <w:rsid w:val="00A438C4"/>
    <w:rsid w:val="00A43C02"/>
    <w:rsid w:val="00A447FF"/>
    <w:rsid w:val="00A44FCB"/>
    <w:rsid w:val="00A45248"/>
    <w:rsid w:val="00A45CE4"/>
    <w:rsid w:val="00A4630D"/>
    <w:rsid w:val="00A467D2"/>
    <w:rsid w:val="00A46CA1"/>
    <w:rsid w:val="00A472B2"/>
    <w:rsid w:val="00A477AB"/>
    <w:rsid w:val="00A478AB"/>
    <w:rsid w:val="00A47D64"/>
    <w:rsid w:val="00A5028F"/>
    <w:rsid w:val="00A5078E"/>
    <w:rsid w:val="00A50C74"/>
    <w:rsid w:val="00A50DF1"/>
    <w:rsid w:val="00A51681"/>
    <w:rsid w:val="00A52513"/>
    <w:rsid w:val="00A52A89"/>
    <w:rsid w:val="00A52C71"/>
    <w:rsid w:val="00A52FB3"/>
    <w:rsid w:val="00A532E4"/>
    <w:rsid w:val="00A537D1"/>
    <w:rsid w:val="00A5384A"/>
    <w:rsid w:val="00A53AD8"/>
    <w:rsid w:val="00A53C02"/>
    <w:rsid w:val="00A5419D"/>
    <w:rsid w:val="00A5462D"/>
    <w:rsid w:val="00A54844"/>
    <w:rsid w:val="00A554AB"/>
    <w:rsid w:val="00A55AAE"/>
    <w:rsid w:val="00A55FDB"/>
    <w:rsid w:val="00A560A5"/>
    <w:rsid w:val="00A56843"/>
    <w:rsid w:val="00A56868"/>
    <w:rsid w:val="00A57B25"/>
    <w:rsid w:val="00A60520"/>
    <w:rsid w:val="00A60778"/>
    <w:rsid w:val="00A607BC"/>
    <w:rsid w:val="00A608BD"/>
    <w:rsid w:val="00A60A76"/>
    <w:rsid w:val="00A60DC2"/>
    <w:rsid w:val="00A60F5C"/>
    <w:rsid w:val="00A61157"/>
    <w:rsid w:val="00A6179B"/>
    <w:rsid w:val="00A6259D"/>
    <w:rsid w:val="00A627B8"/>
    <w:rsid w:val="00A627FC"/>
    <w:rsid w:val="00A62B70"/>
    <w:rsid w:val="00A6397C"/>
    <w:rsid w:val="00A63AD9"/>
    <w:rsid w:val="00A64545"/>
    <w:rsid w:val="00A646CE"/>
    <w:rsid w:val="00A64DA8"/>
    <w:rsid w:val="00A64F4D"/>
    <w:rsid w:val="00A64F9C"/>
    <w:rsid w:val="00A650E7"/>
    <w:rsid w:val="00A65C9F"/>
    <w:rsid w:val="00A65F58"/>
    <w:rsid w:val="00A671CD"/>
    <w:rsid w:val="00A67540"/>
    <w:rsid w:val="00A676F9"/>
    <w:rsid w:val="00A67D13"/>
    <w:rsid w:val="00A70123"/>
    <w:rsid w:val="00A70218"/>
    <w:rsid w:val="00A70586"/>
    <w:rsid w:val="00A71004"/>
    <w:rsid w:val="00A714D6"/>
    <w:rsid w:val="00A71ADC"/>
    <w:rsid w:val="00A7209E"/>
    <w:rsid w:val="00A72816"/>
    <w:rsid w:val="00A7288C"/>
    <w:rsid w:val="00A72B4E"/>
    <w:rsid w:val="00A7304F"/>
    <w:rsid w:val="00A73242"/>
    <w:rsid w:val="00A74007"/>
    <w:rsid w:val="00A74187"/>
    <w:rsid w:val="00A7428A"/>
    <w:rsid w:val="00A7498E"/>
    <w:rsid w:val="00A76BC6"/>
    <w:rsid w:val="00A77878"/>
    <w:rsid w:val="00A77DAA"/>
    <w:rsid w:val="00A803C9"/>
    <w:rsid w:val="00A8132E"/>
    <w:rsid w:val="00A827FF"/>
    <w:rsid w:val="00A83028"/>
    <w:rsid w:val="00A83C98"/>
    <w:rsid w:val="00A84391"/>
    <w:rsid w:val="00A85400"/>
    <w:rsid w:val="00A85669"/>
    <w:rsid w:val="00A85F2D"/>
    <w:rsid w:val="00A8685F"/>
    <w:rsid w:val="00A86E7A"/>
    <w:rsid w:val="00A874DF"/>
    <w:rsid w:val="00A87ACA"/>
    <w:rsid w:val="00A90F32"/>
    <w:rsid w:val="00A92276"/>
    <w:rsid w:val="00A9278E"/>
    <w:rsid w:val="00A927AC"/>
    <w:rsid w:val="00A930BA"/>
    <w:rsid w:val="00A93364"/>
    <w:rsid w:val="00A94785"/>
    <w:rsid w:val="00A947E6"/>
    <w:rsid w:val="00A94831"/>
    <w:rsid w:val="00A9499F"/>
    <w:rsid w:val="00A95243"/>
    <w:rsid w:val="00A95358"/>
    <w:rsid w:val="00A953C9"/>
    <w:rsid w:val="00A9565B"/>
    <w:rsid w:val="00A96232"/>
    <w:rsid w:val="00A963F9"/>
    <w:rsid w:val="00A9676E"/>
    <w:rsid w:val="00A96CB9"/>
    <w:rsid w:val="00A97B11"/>
    <w:rsid w:val="00A97D07"/>
    <w:rsid w:val="00A97D55"/>
    <w:rsid w:val="00AA130A"/>
    <w:rsid w:val="00AA1347"/>
    <w:rsid w:val="00AA3239"/>
    <w:rsid w:val="00AA422F"/>
    <w:rsid w:val="00AA532C"/>
    <w:rsid w:val="00AA5609"/>
    <w:rsid w:val="00AA56F5"/>
    <w:rsid w:val="00AA5EBB"/>
    <w:rsid w:val="00AA613A"/>
    <w:rsid w:val="00AA6571"/>
    <w:rsid w:val="00AA6ADD"/>
    <w:rsid w:val="00AA78C4"/>
    <w:rsid w:val="00AB0042"/>
    <w:rsid w:val="00AB0A4C"/>
    <w:rsid w:val="00AB0A5A"/>
    <w:rsid w:val="00AB0DC8"/>
    <w:rsid w:val="00AB0F5E"/>
    <w:rsid w:val="00AB0FA8"/>
    <w:rsid w:val="00AB1466"/>
    <w:rsid w:val="00AB2084"/>
    <w:rsid w:val="00AB3133"/>
    <w:rsid w:val="00AB3654"/>
    <w:rsid w:val="00AB394A"/>
    <w:rsid w:val="00AB3AFA"/>
    <w:rsid w:val="00AB4AE2"/>
    <w:rsid w:val="00AB519F"/>
    <w:rsid w:val="00AB55F0"/>
    <w:rsid w:val="00AB5FA8"/>
    <w:rsid w:val="00AB6782"/>
    <w:rsid w:val="00AB6A4F"/>
    <w:rsid w:val="00AB7856"/>
    <w:rsid w:val="00AB7C21"/>
    <w:rsid w:val="00AC02F3"/>
    <w:rsid w:val="00AC09F1"/>
    <w:rsid w:val="00AC0EF3"/>
    <w:rsid w:val="00AC1025"/>
    <w:rsid w:val="00AC11B9"/>
    <w:rsid w:val="00AC1950"/>
    <w:rsid w:val="00AC19EE"/>
    <w:rsid w:val="00AC1B6C"/>
    <w:rsid w:val="00AC1F4E"/>
    <w:rsid w:val="00AC2071"/>
    <w:rsid w:val="00AC20DC"/>
    <w:rsid w:val="00AC2B6E"/>
    <w:rsid w:val="00AC38D7"/>
    <w:rsid w:val="00AC3DBA"/>
    <w:rsid w:val="00AC3FAC"/>
    <w:rsid w:val="00AC44D1"/>
    <w:rsid w:val="00AC4A5D"/>
    <w:rsid w:val="00AC4C29"/>
    <w:rsid w:val="00AC501D"/>
    <w:rsid w:val="00AC50FE"/>
    <w:rsid w:val="00AC523A"/>
    <w:rsid w:val="00AC558A"/>
    <w:rsid w:val="00AC559A"/>
    <w:rsid w:val="00AC5703"/>
    <w:rsid w:val="00AC58B5"/>
    <w:rsid w:val="00AC68A9"/>
    <w:rsid w:val="00AC6B07"/>
    <w:rsid w:val="00AC6D10"/>
    <w:rsid w:val="00AC715D"/>
    <w:rsid w:val="00AC739F"/>
    <w:rsid w:val="00AC78D1"/>
    <w:rsid w:val="00AC78D4"/>
    <w:rsid w:val="00AD0126"/>
    <w:rsid w:val="00AD030F"/>
    <w:rsid w:val="00AD04ED"/>
    <w:rsid w:val="00AD08B6"/>
    <w:rsid w:val="00AD11A7"/>
    <w:rsid w:val="00AD17A3"/>
    <w:rsid w:val="00AD18B4"/>
    <w:rsid w:val="00AD1AE2"/>
    <w:rsid w:val="00AD2226"/>
    <w:rsid w:val="00AD22A7"/>
    <w:rsid w:val="00AD2562"/>
    <w:rsid w:val="00AD27CF"/>
    <w:rsid w:val="00AD30DB"/>
    <w:rsid w:val="00AD3446"/>
    <w:rsid w:val="00AD34C1"/>
    <w:rsid w:val="00AD3677"/>
    <w:rsid w:val="00AD36E3"/>
    <w:rsid w:val="00AD3DE3"/>
    <w:rsid w:val="00AD498F"/>
    <w:rsid w:val="00AD4A59"/>
    <w:rsid w:val="00AD4C91"/>
    <w:rsid w:val="00AD4CA6"/>
    <w:rsid w:val="00AD4F35"/>
    <w:rsid w:val="00AD5055"/>
    <w:rsid w:val="00AD50EC"/>
    <w:rsid w:val="00AD52A3"/>
    <w:rsid w:val="00AD5C74"/>
    <w:rsid w:val="00AD5D52"/>
    <w:rsid w:val="00AD673C"/>
    <w:rsid w:val="00AD6881"/>
    <w:rsid w:val="00AD736A"/>
    <w:rsid w:val="00AD7555"/>
    <w:rsid w:val="00AD75E4"/>
    <w:rsid w:val="00AD76EF"/>
    <w:rsid w:val="00AD78A6"/>
    <w:rsid w:val="00AE0785"/>
    <w:rsid w:val="00AE09D6"/>
    <w:rsid w:val="00AE0D8B"/>
    <w:rsid w:val="00AE0D90"/>
    <w:rsid w:val="00AE1530"/>
    <w:rsid w:val="00AE15F7"/>
    <w:rsid w:val="00AE2278"/>
    <w:rsid w:val="00AE263A"/>
    <w:rsid w:val="00AE2F25"/>
    <w:rsid w:val="00AE3988"/>
    <w:rsid w:val="00AE41DF"/>
    <w:rsid w:val="00AE43B8"/>
    <w:rsid w:val="00AE45DD"/>
    <w:rsid w:val="00AE50C4"/>
    <w:rsid w:val="00AE522A"/>
    <w:rsid w:val="00AE5266"/>
    <w:rsid w:val="00AE57EF"/>
    <w:rsid w:val="00AE5E35"/>
    <w:rsid w:val="00AE6A02"/>
    <w:rsid w:val="00AE6A0E"/>
    <w:rsid w:val="00AE6B7F"/>
    <w:rsid w:val="00AE6B8F"/>
    <w:rsid w:val="00AE6DC0"/>
    <w:rsid w:val="00AE7688"/>
    <w:rsid w:val="00AF0B75"/>
    <w:rsid w:val="00AF0CC2"/>
    <w:rsid w:val="00AF0F4B"/>
    <w:rsid w:val="00AF1044"/>
    <w:rsid w:val="00AF146C"/>
    <w:rsid w:val="00AF1926"/>
    <w:rsid w:val="00AF1961"/>
    <w:rsid w:val="00AF1DED"/>
    <w:rsid w:val="00AF224B"/>
    <w:rsid w:val="00AF2266"/>
    <w:rsid w:val="00AF36E0"/>
    <w:rsid w:val="00AF38FC"/>
    <w:rsid w:val="00AF3EFB"/>
    <w:rsid w:val="00AF3F96"/>
    <w:rsid w:val="00AF4750"/>
    <w:rsid w:val="00AF49A6"/>
    <w:rsid w:val="00AF4AB2"/>
    <w:rsid w:val="00AF5028"/>
    <w:rsid w:val="00AF5799"/>
    <w:rsid w:val="00AF594E"/>
    <w:rsid w:val="00AF5D77"/>
    <w:rsid w:val="00AF6EBE"/>
    <w:rsid w:val="00AF7513"/>
    <w:rsid w:val="00AF7ADE"/>
    <w:rsid w:val="00AF7C29"/>
    <w:rsid w:val="00B00315"/>
    <w:rsid w:val="00B00CE9"/>
    <w:rsid w:val="00B00FE0"/>
    <w:rsid w:val="00B01048"/>
    <w:rsid w:val="00B010D4"/>
    <w:rsid w:val="00B012FF"/>
    <w:rsid w:val="00B01763"/>
    <w:rsid w:val="00B01DC3"/>
    <w:rsid w:val="00B0247A"/>
    <w:rsid w:val="00B0328B"/>
    <w:rsid w:val="00B03833"/>
    <w:rsid w:val="00B03F99"/>
    <w:rsid w:val="00B042B8"/>
    <w:rsid w:val="00B04E9A"/>
    <w:rsid w:val="00B051BF"/>
    <w:rsid w:val="00B05ACA"/>
    <w:rsid w:val="00B05F54"/>
    <w:rsid w:val="00B064F6"/>
    <w:rsid w:val="00B06599"/>
    <w:rsid w:val="00B06644"/>
    <w:rsid w:val="00B066D0"/>
    <w:rsid w:val="00B07AA4"/>
    <w:rsid w:val="00B07C27"/>
    <w:rsid w:val="00B1016E"/>
    <w:rsid w:val="00B11E09"/>
    <w:rsid w:val="00B11F8B"/>
    <w:rsid w:val="00B12111"/>
    <w:rsid w:val="00B128E9"/>
    <w:rsid w:val="00B12C34"/>
    <w:rsid w:val="00B12C57"/>
    <w:rsid w:val="00B13247"/>
    <w:rsid w:val="00B1358C"/>
    <w:rsid w:val="00B139C7"/>
    <w:rsid w:val="00B13B61"/>
    <w:rsid w:val="00B13FEB"/>
    <w:rsid w:val="00B14B35"/>
    <w:rsid w:val="00B14B3E"/>
    <w:rsid w:val="00B15C15"/>
    <w:rsid w:val="00B15CEA"/>
    <w:rsid w:val="00B16B94"/>
    <w:rsid w:val="00B16D8D"/>
    <w:rsid w:val="00B16F75"/>
    <w:rsid w:val="00B17875"/>
    <w:rsid w:val="00B17D65"/>
    <w:rsid w:val="00B20AB4"/>
    <w:rsid w:val="00B20CBB"/>
    <w:rsid w:val="00B20F66"/>
    <w:rsid w:val="00B212C4"/>
    <w:rsid w:val="00B2134A"/>
    <w:rsid w:val="00B21972"/>
    <w:rsid w:val="00B21BAE"/>
    <w:rsid w:val="00B22433"/>
    <w:rsid w:val="00B226A4"/>
    <w:rsid w:val="00B2283F"/>
    <w:rsid w:val="00B228A8"/>
    <w:rsid w:val="00B229B9"/>
    <w:rsid w:val="00B2303D"/>
    <w:rsid w:val="00B232EB"/>
    <w:rsid w:val="00B23482"/>
    <w:rsid w:val="00B2389B"/>
    <w:rsid w:val="00B2399C"/>
    <w:rsid w:val="00B23A3C"/>
    <w:rsid w:val="00B23B9E"/>
    <w:rsid w:val="00B242FB"/>
    <w:rsid w:val="00B245FC"/>
    <w:rsid w:val="00B249FA"/>
    <w:rsid w:val="00B24EF9"/>
    <w:rsid w:val="00B255AC"/>
    <w:rsid w:val="00B256B0"/>
    <w:rsid w:val="00B25DD4"/>
    <w:rsid w:val="00B26944"/>
    <w:rsid w:val="00B27894"/>
    <w:rsid w:val="00B279A6"/>
    <w:rsid w:val="00B27AAF"/>
    <w:rsid w:val="00B27E62"/>
    <w:rsid w:val="00B27E83"/>
    <w:rsid w:val="00B304F1"/>
    <w:rsid w:val="00B309E9"/>
    <w:rsid w:val="00B31CC5"/>
    <w:rsid w:val="00B3201A"/>
    <w:rsid w:val="00B32796"/>
    <w:rsid w:val="00B32808"/>
    <w:rsid w:val="00B32849"/>
    <w:rsid w:val="00B3302D"/>
    <w:rsid w:val="00B330BA"/>
    <w:rsid w:val="00B33658"/>
    <w:rsid w:val="00B33707"/>
    <w:rsid w:val="00B33CF8"/>
    <w:rsid w:val="00B343CF"/>
    <w:rsid w:val="00B351B5"/>
    <w:rsid w:val="00B35854"/>
    <w:rsid w:val="00B359B5"/>
    <w:rsid w:val="00B35D4D"/>
    <w:rsid w:val="00B36046"/>
    <w:rsid w:val="00B3640F"/>
    <w:rsid w:val="00B3653B"/>
    <w:rsid w:val="00B36D3A"/>
    <w:rsid w:val="00B36DAA"/>
    <w:rsid w:val="00B36F3C"/>
    <w:rsid w:val="00B372C4"/>
    <w:rsid w:val="00B375BC"/>
    <w:rsid w:val="00B37CC8"/>
    <w:rsid w:val="00B40CF2"/>
    <w:rsid w:val="00B40F16"/>
    <w:rsid w:val="00B41402"/>
    <w:rsid w:val="00B41684"/>
    <w:rsid w:val="00B41ABB"/>
    <w:rsid w:val="00B41C37"/>
    <w:rsid w:val="00B41FAD"/>
    <w:rsid w:val="00B43336"/>
    <w:rsid w:val="00B4386E"/>
    <w:rsid w:val="00B43A55"/>
    <w:rsid w:val="00B43DFB"/>
    <w:rsid w:val="00B44D73"/>
    <w:rsid w:val="00B453B3"/>
    <w:rsid w:val="00B45F3F"/>
    <w:rsid w:val="00B46D15"/>
    <w:rsid w:val="00B47BA6"/>
    <w:rsid w:val="00B47D7B"/>
    <w:rsid w:val="00B5043D"/>
    <w:rsid w:val="00B509EC"/>
    <w:rsid w:val="00B50FA6"/>
    <w:rsid w:val="00B515DB"/>
    <w:rsid w:val="00B51975"/>
    <w:rsid w:val="00B51AEF"/>
    <w:rsid w:val="00B51AF4"/>
    <w:rsid w:val="00B5214E"/>
    <w:rsid w:val="00B524EF"/>
    <w:rsid w:val="00B52F09"/>
    <w:rsid w:val="00B532E6"/>
    <w:rsid w:val="00B532F5"/>
    <w:rsid w:val="00B534D4"/>
    <w:rsid w:val="00B537F9"/>
    <w:rsid w:val="00B538E2"/>
    <w:rsid w:val="00B53CCB"/>
    <w:rsid w:val="00B53E44"/>
    <w:rsid w:val="00B5437A"/>
    <w:rsid w:val="00B5483A"/>
    <w:rsid w:val="00B54EBA"/>
    <w:rsid w:val="00B552C7"/>
    <w:rsid w:val="00B552E3"/>
    <w:rsid w:val="00B557D9"/>
    <w:rsid w:val="00B559E2"/>
    <w:rsid w:val="00B56452"/>
    <w:rsid w:val="00B56977"/>
    <w:rsid w:val="00B57298"/>
    <w:rsid w:val="00B5752C"/>
    <w:rsid w:val="00B579C1"/>
    <w:rsid w:val="00B579EB"/>
    <w:rsid w:val="00B57A7A"/>
    <w:rsid w:val="00B57EE8"/>
    <w:rsid w:val="00B61096"/>
    <w:rsid w:val="00B616BE"/>
    <w:rsid w:val="00B61F13"/>
    <w:rsid w:val="00B6217A"/>
    <w:rsid w:val="00B62725"/>
    <w:rsid w:val="00B627B7"/>
    <w:rsid w:val="00B62FC5"/>
    <w:rsid w:val="00B63276"/>
    <w:rsid w:val="00B63546"/>
    <w:rsid w:val="00B6355A"/>
    <w:rsid w:val="00B63C68"/>
    <w:rsid w:val="00B63DE5"/>
    <w:rsid w:val="00B63ED1"/>
    <w:rsid w:val="00B63EE3"/>
    <w:rsid w:val="00B64362"/>
    <w:rsid w:val="00B644C0"/>
    <w:rsid w:val="00B6482C"/>
    <w:rsid w:val="00B6482E"/>
    <w:rsid w:val="00B64996"/>
    <w:rsid w:val="00B6506F"/>
    <w:rsid w:val="00B65257"/>
    <w:rsid w:val="00B65282"/>
    <w:rsid w:val="00B652B7"/>
    <w:rsid w:val="00B655B5"/>
    <w:rsid w:val="00B655D2"/>
    <w:rsid w:val="00B6656D"/>
    <w:rsid w:val="00B67A6F"/>
    <w:rsid w:val="00B67F91"/>
    <w:rsid w:val="00B70011"/>
    <w:rsid w:val="00B70170"/>
    <w:rsid w:val="00B7044B"/>
    <w:rsid w:val="00B7087F"/>
    <w:rsid w:val="00B70E98"/>
    <w:rsid w:val="00B70EC7"/>
    <w:rsid w:val="00B7181D"/>
    <w:rsid w:val="00B71A44"/>
    <w:rsid w:val="00B71CE8"/>
    <w:rsid w:val="00B7226D"/>
    <w:rsid w:val="00B727C6"/>
    <w:rsid w:val="00B7341B"/>
    <w:rsid w:val="00B73B5D"/>
    <w:rsid w:val="00B73D98"/>
    <w:rsid w:val="00B73FED"/>
    <w:rsid w:val="00B74164"/>
    <w:rsid w:val="00B74310"/>
    <w:rsid w:val="00B74701"/>
    <w:rsid w:val="00B74B50"/>
    <w:rsid w:val="00B74B6C"/>
    <w:rsid w:val="00B752EC"/>
    <w:rsid w:val="00B753E2"/>
    <w:rsid w:val="00B75A4F"/>
    <w:rsid w:val="00B7679A"/>
    <w:rsid w:val="00B76F6D"/>
    <w:rsid w:val="00B77B4C"/>
    <w:rsid w:val="00B77F9F"/>
    <w:rsid w:val="00B803F2"/>
    <w:rsid w:val="00B8047E"/>
    <w:rsid w:val="00B80FD6"/>
    <w:rsid w:val="00B811E6"/>
    <w:rsid w:val="00B818D5"/>
    <w:rsid w:val="00B81AE8"/>
    <w:rsid w:val="00B81D04"/>
    <w:rsid w:val="00B81E16"/>
    <w:rsid w:val="00B81F7C"/>
    <w:rsid w:val="00B820F7"/>
    <w:rsid w:val="00B82735"/>
    <w:rsid w:val="00B828AC"/>
    <w:rsid w:val="00B829DE"/>
    <w:rsid w:val="00B82EC3"/>
    <w:rsid w:val="00B831E3"/>
    <w:rsid w:val="00B8484B"/>
    <w:rsid w:val="00B855A3"/>
    <w:rsid w:val="00B85CC7"/>
    <w:rsid w:val="00B862A8"/>
    <w:rsid w:val="00B86361"/>
    <w:rsid w:val="00B8670D"/>
    <w:rsid w:val="00B867A9"/>
    <w:rsid w:val="00B86C75"/>
    <w:rsid w:val="00B87267"/>
    <w:rsid w:val="00B87931"/>
    <w:rsid w:val="00B87B46"/>
    <w:rsid w:val="00B87B6A"/>
    <w:rsid w:val="00B87E71"/>
    <w:rsid w:val="00B87FB1"/>
    <w:rsid w:val="00B87FFD"/>
    <w:rsid w:val="00B902D6"/>
    <w:rsid w:val="00B9032F"/>
    <w:rsid w:val="00B90A59"/>
    <w:rsid w:val="00B90DA9"/>
    <w:rsid w:val="00B91B48"/>
    <w:rsid w:val="00B9258A"/>
    <w:rsid w:val="00B92CD1"/>
    <w:rsid w:val="00B92D87"/>
    <w:rsid w:val="00B932D0"/>
    <w:rsid w:val="00B93DCE"/>
    <w:rsid w:val="00B9407B"/>
    <w:rsid w:val="00B94085"/>
    <w:rsid w:val="00B948C5"/>
    <w:rsid w:val="00B948FF"/>
    <w:rsid w:val="00B94D5D"/>
    <w:rsid w:val="00B9527C"/>
    <w:rsid w:val="00B9536F"/>
    <w:rsid w:val="00B96338"/>
    <w:rsid w:val="00B964BC"/>
    <w:rsid w:val="00B965CF"/>
    <w:rsid w:val="00B97111"/>
    <w:rsid w:val="00B974D2"/>
    <w:rsid w:val="00B975FE"/>
    <w:rsid w:val="00B9769D"/>
    <w:rsid w:val="00B97C2D"/>
    <w:rsid w:val="00BA0248"/>
    <w:rsid w:val="00BA044F"/>
    <w:rsid w:val="00BA0AC2"/>
    <w:rsid w:val="00BA0ACF"/>
    <w:rsid w:val="00BA0C64"/>
    <w:rsid w:val="00BA0C80"/>
    <w:rsid w:val="00BA0FA5"/>
    <w:rsid w:val="00BA1D33"/>
    <w:rsid w:val="00BA23FD"/>
    <w:rsid w:val="00BA29CB"/>
    <w:rsid w:val="00BA2B87"/>
    <w:rsid w:val="00BA405E"/>
    <w:rsid w:val="00BA450E"/>
    <w:rsid w:val="00BA4645"/>
    <w:rsid w:val="00BA4F9C"/>
    <w:rsid w:val="00BA5311"/>
    <w:rsid w:val="00BA5356"/>
    <w:rsid w:val="00BA5E06"/>
    <w:rsid w:val="00BA6318"/>
    <w:rsid w:val="00BA68BF"/>
    <w:rsid w:val="00BA6A2C"/>
    <w:rsid w:val="00BA6D87"/>
    <w:rsid w:val="00BA721D"/>
    <w:rsid w:val="00BB02A2"/>
    <w:rsid w:val="00BB1382"/>
    <w:rsid w:val="00BB13A6"/>
    <w:rsid w:val="00BB1616"/>
    <w:rsid w:val="00BB1629"/>
    <w:rsid w:val="00BB17BE"/>
    <w:rsid w:val="00BB234A"/>
    <w:rsid w:val="00BB242C"/>
    <w:rsid w:val="00BB27C4"/>
    <w:rsid w:val="00BB28DC"/>
    <w:rsid w:val="00BB344D"/>
    <w:rsid w:val="00BB422D"/>
    <w:rsid w:val="00BB52F8"/>
    <w:rsid w:val="00BB53C7"/>
    <w:rsid w:val="00BB5BCB"/>
    <w:rsid w:val="00BB5C70"/>
    <w:rsid w:val="00BB5DFF"/>
    <w:rsid w:val="00BB5FD3"/>
    <w:rsid w:val="00BB6042"/>
    <w:rsid w:val="00BB6126"/>
    <w:rsid w:val="00BB665D"/>
    <w:rsid w:val="00BB6D08"/>
    <w:rsid w:val="00BB6D76"/>
    <w:rsid w:val="00BB6E93"/>
    <w:rsid w:val="00BB72D8"/>
    <w:rsid w:val="00BB7418"/>
    <w:rsid w:val="00BB747F"/>
    <w:rsid w:val="00BB7597"/>
    <w:rsid w:val="00BB769C"/>
    <w:rsid w:val="00BB7DB8"/>
    <w:rsid w:val="00BC014B"/>
    <w:rsid w:val="00BC03DB"/>
    <w:rsid w:val="00BC0E87"/>
    <w:rsid w:val="00BC0FBE"/>
    <w:rsid w:val="00BC1426"/>
    <w:rsid w:val="00BC1FC4"/>
    <w:rsid w:val="00BC2305"/>
    <w:rsid w:val="00BC244E"/>
    <w:rsid w:val="00BC2AB6"/>
    <w:rsid w:val="00BC30FE"/>
    <w:rsid w:val="00BC3A7C"/>
    <w:rsid w:val="00BC438B"/>
    <w:rsid w:val="00BC52C1"/>
    <w:rsid w:val="00BC57D2"/>
    <w:rsid w:val="00BC5B23"/>
    <w:rsid w:val="00BC5CF8"/>
    <w:rsid w:val="00BC60B8"/>
    <w:rsid w:val="00BC6408"/>
    <w:rsid w:val="00BC7EE6"/>
    <w:rsid w:val="00BD054A"/>
    <w:rsid w:val="00BD0C39"/>
    <w:rsid w:val="00BD1E85"/>
    <w:rsid w:val="00BD1F60"/>
    <w:rsid w:val="00BD2398"/>
    <w:rsid w:val="00BD29FD"/>
    <w:rsid w:val="00BD2FB9"/>
    <w:rsid w:val="00BD2FF0"/>
    <w:rsid w:val="00BD338D"/>
    <w:rsid w:val="00BD3613"/>
    <w:rsid w:val="00BD45D8"/>
    <w:rsid w:val="00BD46B9"/>
    <w:rsid w:val="00BD4914"/>
    <w:rsid w:val="00BD4E57"/>
    <w:rsid w:val="00BD53E2"/>
    <w:rsid w:val="00BD587B"/>
    <w:rsid w:val="00BD6966"/>
    <w:rsid w:val="00BD6FC3"/>
    <w:rsid w:val="00BD7336"/>
    <w:rsid w:val="00BD7548"/>
    <w:rsid w:val="00BD7A44"/>
    <w:rsid w:val="00BD7E48"/>
    <w:rsid w:val="00BE005B"/>
    <w:rsid w:val="00BE0106"/>
    <w:rsid w:val="00BE012D"/>
    <w:rsid w:val="00BE020F"/>
    <w:rsid w:val="00BE0829"/>
    <w:rsid w:val="00BE0B78"/>
    <w:rsid w:val="00BE2239"/>
    <w:rsid w:val="00BE255D"/>
    <w:rsid w:val="00BE2E52"/>
    <w:rsid w:val="00BE3699"/>
    <w:rsid w:val="00BE37E1"/>
    <w:rsid w:val="00BE421A"/>
    <w:rsid w:val="00BE4622"/>
    <w:rsid w:val="00BE4AF3"/>
    <w:rsid w:val="00BE536F"/>
    <w:rsid w:val="00BE5675"/>
    <w:rsid w:val="00BE5EC3"/>
    <w:rsid w:val="00BE5ECC"/>
    <w:rsid w:val="00BE5FA5"/>
    <w:rsid w:val="00BE61C2"/>
    <w:rsid w:val="00BE6665"/>
    <w:rsid w:val="00BE6CF0"/>
    <w:rsid w:val="00BE6E92"/>
    <w:rsid w:val="00BE75C9"/>
    <w:rsid w:val="00BE75CD"/>
    <w:rsid w:val="00BE79AC"/>
    <w:rsid w:val="00BE7DBF"/>
    <w:rsid w:val="00BE7EE0"/>
    <w:rsid w:val="00BF014E"/>
    <w:rsid w:val="00BF0ACA"/>
    <w:rsid w:val="00BF0C42"/>
    <w:rsid w:val="00BF0D9C"/>
    <w:rsid w:val="00BF0DC4"/>
    <w:rsid w:val="00BF1054"/>
    <w:rsid w:val="00BF14ED"/>
    <w:rsid w:val="00BF16B1"/>
    <w:rsid w:val="00BF16D4"/>
    <w:rsid w:val="00BF423D"/>
    <w:rsid w:val="00BF4D34"/>
    <w:rsid w:val="00BF5ACE"/>
    <w:rsid w:val="00BF6003"/>
    <w:rsid w:val="00BF670A"/>
    <w:rsid w:val="00BF6CBA"/>
    <w:rsid w:val="00BF73E2"/>
    <w:rsid w:val="00C00219"/>
    <w:rsid w:val="00C0031D"/>
    <w:rsid w:val="00C00F52"/>
    <w:rsid w:val="00C01B1F"/>
    <w:rsid w:val="00C02B68"/>
    <w:rsid w:val="00C03267"/>
    <w:rsid w:val="00C03BEF"/>
    <w:rsid w:val="00C0416A"/>
    <w:rsid w:val="00C041D9"/>
    <w:rsid w:val="00C0433C"/>
    <w:rsid w:val="00C05889"/>
    <w:rsid w:val="00C05A71"/>
    <w:rsid w:val="00C05AAE"/>
    <w:rsid w:val="00C06655"/>
    <w:rsid w:val="00C06882"/>
    <w:rsid w:val="00C06D9D"/>
    <w:rsid w:val="00C07423"/>
    <w:rsid w:val="00C07DB3"/>
    <w:rsid w:val="00C07FBF"/>
    <w:rsid w:val="00C10F23"/>
    <w:rsid w:val="00C118C0"/>
    <w:rsid w:val="00C1197C"/>
    <w:rsid w:val="00C11997"/>
    <w:rsid w:val="00C11A83"/>
    <w:rsid w:val="00C11CEA"/>
    <w:rsid w:val="00C12416"/>
    <w:rsid w:val="00C125AF"/>
    <w:rsid w:val="00C127E7"/>
    <w:rsid w:val="00C12C1F"/>
    <w:rsid w:val="00C12EF7"/>
    <w:rsid w:val="00C13683"/>
    <w:rsid w:val="00C13CA4"/>
    <w:rsid w:val="00C143DD"/>
    <w:rsid w:val="00C14873"/>
    <w:rsid w:val="00C14FB7"/>
    <w:rsid w:val="00C15B34"/>
    <w:rsid w:val="00C15F5E"/>
    <w:rsid w:val="00C16172"/>
    <w:rsid w:val="00C16283"/>
    <w:rsid w:val="00C1634C"/>
    <w:rsid w:val="00C16CB7"/>
    <w:rsid w:val="00C177BE"/>
    <w:rsid w:val="00C20A99"/>
    <w:rsid w:val="00C22227"/>
    <w:rsid w:val="00C222C8"/>
    <w:rsid w:val="00C22548"/>
    <w:rsid w:val="00C2259E"/>
    <w:rsid w:val="00C226AD"/>
    <w:rsid w:val="00C22B79"/>
    <w:rsid w:val="00C22EC1"/>
    <w:rsid w:val="00C231EE"/>
    <w:rsid w:val="00C23942"/>
    <w:rsid w:val="00C23B6C"/>
    <w:rsid w:val="00C24FA2"/>
    <w:rsid w:val="00C250E1"/>
    <w:rsid w:val="00C253E2"/>
    <w:rsid w:val="00C2547F"/>
    <w:rsid w:val="00C2587C"/>
    <w:rsid w:val="00C264CB"/>
    <w:rsid w:val="00C2705B"/>
    <w:rsid w:val="00C275C1"/>
    <w:rsid w:val="00C277BE"/>
    <w:rsid w:val="00C27FC9"/>
    <w:rsid w:val="00C30EFB"/>
    <w:rsid w:val="00C31CFE"/>
    <w:rsid w:val="00C31F1C"/>
    <w:rsid w:val="00C3244D"/>
    <w:rsid w:val="00C32D6E"/>
    <w:rsid w:val="00C33D18"/>
    <w:rsid w:val="00C33F65"/>
    <w:rsid w:val="00C34001"/>
    <w:rsid w:val="00C340A1"/>
    <w:rsid w:val="00C34276"/>
    <w:rsid w:val="00C347F4"/>
    <w:rsid w:val="00C34A2F"/>
    <w:rsid w:val="00C34CAF"/>
    <w:rsid w:val="00C34D77"/>
    <w:rsid w:val="00C35192"/>
    <w:rsid w:val="00C36A6D"/>
    <w:rsid w:val="00C36B1C"/>
    <w:rsid w:val="00C36F69"/>
    <w:rsid w:val="00C371FE"/>
    <w:rsid w:val="00C3780D"/>
    <w:rsid w:val="00C37F06"/>
    <w:rsid w:val="00C409F9"/>
    <w:rsid w:val="00C40A0D"/>
    <w:rsid w:val="00C40BBD"/>
    <w:rsid w:val="00C4138C"/>
    <w:rsid w:val="00C41493"/>
    <w:rsid w:val="00C41CD2"/>
    <w:rsid w:val="00C42CA0"/>
    <w:rsid w:val="00C435FA"/>
    <w:rsid w:val="00C43675"/>
    <w:rsid w:val="00C43C26"/>
    <w:rsid w:val="00C44C23"/>
    <w:rsid w:val="00C44E11"/>
    <w:rsid w:val="00C4699F"/>
    <w:rsid w:val="00C46BEA"/>
    <w:rsid w:val="00C47275"/>
    <w:rsid w:val="00C478F8"/>
    <w:rsid w:val="00C47F19"/>
    <w:rsid w:val="00C50321"/>
    <w:rsid w:val="00C50537"/>
    <w:rsid w:val="00C507A1"/>
    <w:rsid w:val="00C5091E"/>
    <w:rsid w:val="00C50FDF"/>
    <w:rsid w:val="00C51139"/>
    <w:rsid w:val="00C51B80"/>
    <w:rsid w:val="00C51EF1"/>
    <w:rsid w:val="00C522EB"/>
    <w:rsid w:val="00C523F6"/>
    <w:rsid w:val="00C5258E"/>
    <w:rsid w:val="00C525CC"/>
    <w:rsid w:val="00C52691"/>
    <w:rsid w:val="00C52E31"/>
    <w:rsid w:val="00C53244"/>
    <w:rsid w:val="00C533D7"/>
    <w:rsid w:val="00C5389C"/>
    <w:rsid w:val="00C545C0"/>
    <w:rsid w:val="00C55AFD"/>
    <w:rsid w:val="00C55C0F"/>
    <w:rsid w:val="00C55C12"/>
    <w:rsid w:val="00C563F4"/>
    <w:rsid w:val="00C564EE"/>
    <w:rsid w:val="00C5653A"/>
    <w:rsid w:val="00C56998"/>
    <w:rsid w:val="00C56B8A"/>
    <w:rsid w:val="00C573CE"/>
    <w:rsid w:val="00C57416"/>
    <w:rsid w:val="00C5750B"/>
    <w:rsid w:val="00C575DB"/>
    <w:rsid w:val="00C575EE"/>
    <w:rsid w:val="00C57872"/>
    <w:rsid w:val="00C57965"/>
    <w:rsid w:val="00C57E71"/>
    <w:rsid w:val="00C57FB3"/>
    <w:rsid w:val="00C57FFC"/>
    <w:rsid w:val="00C600CC"/>
    <w:rsid w:val="00C60BCA"/>
    <w:rsid w:val="00C6158E"/>
    <w:rsid w:val="00C61A77"/>
    <w:rsid w:val="00C61E2F"/>
    <w:rsid w:val="00C6204E"/>
    <w:rsid w:val="00C620B0"/>
    <w:rsid w:val="00C62401"/>
    <w:rsid w:val="00C628EE"/>
    <w:rsid w:val="00C62940"/>
    <w:rsid w:val="00C630D2"/>
    <w:rsid w:val="00C63102"/>
    <w:rsid w:val="00C63716"/>
    <w:rsid w:val="00C63EEC"/>
    <w:rsid w:val="00C64273"/>
    <w:rsid w:val="00C645F6"/>
    <w:rsid w:val="00C649DE"/>
    <w:rsid w:val="00C64CB2"/>
    <w:rsid w:val="00C6531B"/>
    <w:rsid w:val="00C653B8"/>
    <w:rsid w:val="00C65663"/>
    <w:rsid w:val="00C663F9"/>
    <w:rsid w:val="00C672CE"/>
    <w:rsid w:val="00C70211"/>
    <w:rsid w:val="00C702F6"/>
    <w:rsid w:val="00C708D2"/>
    <w:rsid w:val="00C71237"/>
    <w:rsid w:val="00C713B1"/>
    <w:rsid w:val="00C71CDA"/>
    <w:rsid w:val="00C729D6"/>
    <w:rsid w:val="00C72FAC"/>
    <w:rsid w:val="00C73A32"/>
    <w:rsid w:val="00C73A76"/>
    <w:rsid w:val="00C73CEA"/>
    <w:rsid w:val="00C73D71"/>
    <w:rsid w:val="00C73D83"/>
    <w:rsid w:val="00C74313"/>
    <w:rsid w:val="00C74317"/>
    <w:rsid w:val="00C744D9"/>
    <w:rsid w:val="00C749EB"/>
    <w:rsid w:val="00C74A5F"/>
    <w:rsid w:val="00C75003"/>
    <w:rsid w:val="00C750E2"/>
    <w:rsid w:val="00C750EF"/>
    <w:rsid w:val="00C75220"/>
    <w:rsid w:val="00C75781"/>
    <w:rsid w:val="00C75CF6"/>
    <w:rsid w:val="00C764C8"/>
    <w:rsid w:val="00C7670A"/>
    <w:rsid w:val="00C7781B"/>
    <w:rsid w:val="00C77BED"/>
    <w:rsid w:val="00C805FF"/>
    <w:rsid w:val="00C80A66"/>
    <w:rsid w:val="00C80B36"/>
    <w:rsid w:val="00C80E61"/>
    <w:rsid w:val="00C81A05"/>
    <w:rsid w:val="00C81D10"/>
    <w:rsid w:val="00C820F8"/>
    <w:rsid w:val="00C8254D"/>
    <w:rsid w:val="00C8269B"/>
    <w:rsid w:val="00C82B65"/>
    <w:rsid w:val="00C82F09"/>
    <w:rsid w:val="00C83119"/>
    <w:rsid w:val="00C8350C"/>
    <w:rsid w:val="00C83994"/>
    <w:rsid w:val="00C84B43"/>
    <w:rsid w:val="00C8501A"/>
    <w:rsid w:val="00C858A9"/>
    <w:rsid w:val="00C861F5"/>
    <w:rsid w:val="00C8661D"/>
    <w:rsid w:val="00C86C56"/>
    <w:rsid w:val="00C872BE"/>
    <w:rsid w:val="00C87B5C"/>
    <w:rsid w:val="00C87C43"/>
    <w:rsid w:val="00C87F06"/>
    <w:rsid w:val="00C90316"/>
    <w:rsid w:val="00C908D3"/>
    <w:rsid w:val="00C90C45"/>
    <w:rsid w:val="00C90F90"/>
    <w:rsid w:val="00C912C3"/>
    <w:rsid w:val="00C9169F"/>
    <w:rsid w:val="00C917C7"/>
    <w:rsid w:val="00C91899"/>
    <w:rsid w:val="00C91FAD"/>
    <w:rsid w:val="00C928B0"/>
    <w:rsid w:val="00C92B8E"/>
    <w:rsid w:val="00C92CAE"/>
    <w:rsid w:val="00C92ED2"/>
    <w:rsid w:val="00C935EF"/>
    <w:rsid w:val="00C936EA"/>
    <w:rsid w:val="00C93BBF"/>
    <w:rsid w:val="00C93FEC"/>
    <w:rsid w:val="00C94703"/>
    <w:rsid w:val="00C94874"/>
    <w:rsid w:val="00C948E2"/>
    <w:rsid w:val="00C94BEB"/>
    <w:rsid w:val="00C94F61"/>
    <w:rsid w:val="00C9509F"/>
    <w:rsid w:val="00C9623E"/>
    <w:rsid w:val="00C97368"/>
    <w:rsid w:val="00C97413"/>
    <w:rsid w:val="00C974EC"/>
    <w:rsid w:val="00C977F2"/>
    <w:rsid w:val="00C978B3"/>
    <w:rsid w:val="00C97ABD"/>
    <w:rsid w:val="00CA01BF"/>
    <w:rsid w:val="00CA0BEF"/>
    <w:rsid w:val="00CA1756"/>
    <w:rsid w:val="00CA17DC"/>
    <w:rsid w:val="00CA1CCB"/>
    <w:rsid w:val="00CA2087"/>
    <w:rsid w:val="00CA222D"/>
    <w:rsid w:val="00CA2479"/>
    <w:rsid w:val="00CA3BB7"/>
    <w:rsid w:val="00CA3CE4"/>
    <w:rsid w:val="00CA3D41"/>
    <w:rsid w:val="00CA552F"/>
    <w:rsid w:val="00CA564D"/>
    <w:rsid w:val="00CA5B0B"/>
    <w:rsid w:val="00CA5DF9"/>
    <w:rsid w:val="00CA6489"/>
    <w:rsid w:val="00CA67EA"/>
    <w:rsid w:val="00CA6AA6"/>
    <w:rsid w:val="00CA7E2B"/>
    <w:rsid w:val="00CB02B6"/>
    <w:rsid w:val="00CB03D4"/>
    <w:rsid w:val="00CB11AC"/>
    <w:rsid w:val="00CB135E"/>
    <w:rsid w:val="00CB1B36"/>
    <w:rsid w:val="00CB2400"/>
    <w:rsid w:val="00CB291C"/>
    <w:rsid w:val="00CB2D16"/>
    <w:rsid w:val="00CB2DCB"/>
    <w:rsid w:val="00CB30A7"/>
    <w:rsid w:val="00CB3D17"/>
    <w:rsid w:val="00CB40A2"/>
    <w:rsid w:val="00CB4C4C"/>
    <w:rsid w:val="00CB4DDC"/>
    <w:rsid w:val="00CB4E85"/>
    <w:rsid w:val="00CB53C2"/>
    <w:rsid w:val="00CB5406"/>
    <w:rsid w:val="00CB587F"/>
    <w:rsid w:val="00CB589B"/>
    <w:rsid w:val="00CB63B9"/>
    <w:rsid w:val="00CB6770"/>
    <w:rsid w:val="00CB6CFA"/>
    <w:rsid w:val="00CB6F76"/>
    <w:rsid w:val="00CB745E"/>
    <w:rsid w:val="00CB746E"/>
    <w:rsid w:val="00CB79B9"/>
    <w:rsid w:val="00CB7A91"/>
    <w:rsid w:val="00CB7FF8"/>
    <w:rsid w:val="00CC0016"/>
    <w:rsid w:val="00CC054B"/>
    <w:rsid w:val="00CC0B5C"/>
    <w:rsid w:val="00CC1052"/>
    <w:rsid w:val="00CC151E"/>
    <w:rsid w:val="00CC2475"/>
    <w:rsid w:val="00CC29D1"/>
    <w:rsid w:val="00CC2A5C"/>
    <w:rsid w:val="00CC2DD6"/>
    <w:rsid w:val="00CC331F"/>
    <w:rsid w:val="00CC33C9"/>
    <w:rsid w:val="00CC344E"/>
    <w:rsid w:val="00CC4066"/>
    <w:rsid w:val="00CC5043"/>
    <w:rsid w:val="00CC51D9"/>
    <w:rsid w:val="00CC5209"/>
    <w:rsid w:val="00CC5672"/>
    <w:rsid w:val="00CC5808"/>
    <w:rsid w:val="00CC639C"/>
    <w:rsid w:val="00CC66C2"/>
    <w:rsid w:val="00CC68CB"/>
    <w:rsid w:val="00CC6961"/>
    <w:rsid w:val="00CC6C20"/>
    <w:rsid w:val="00CC755D"/>
    <w:rsid w:val="00CC7C0F"/>
    <w:rsid w:val="00CC7DAB"/>
    <w:rsid w:val="00CC7EE4"/>
    <w:rsid w:val="00CC7FE0"/>
    <w:rsid w:val="00CD0684"/>
    <w:rsid w:val="00CD071B"/>
    <w:rsid w:val="00CD0AA3"/>
    <w:rsid w:val="00CD1038"/>
    <w:rsid w:val="00CD1B0C"/>
    <w:rsid w:val="00CD21D0"/>
    <w:rsid w:val="00CD2F75"/>
    <w:rsid w:val="00CD39FC"/>
    <w:rsid w:val="00CD3B6A"/>
    <w:rsid w:val="00CD3DF3"/>
    <w:rsid w:val="00CD421A"/>
    <w:rsid w:val="00CD50C0"/>
    <w:rsid w:val="00CD6141"/>
    <w:rsid w:val="00CD62DF"/>
    <w:rsid w:val="00CD6355"/>
    <w:rsid w:val="00CD64E8"/>
    <w:rsid w:val="00CD7146"/>
    <w:rsid w:val="00CD786D"/>
    <w:rsid w:val="00CE0035"/>
    <w:rsid w:val="00CE014C"/>
    <w:rsid w:val="00CE01A5"/>
    <w:rsid w:val="00CE0E95"/>
    <w:rsid w:val="00CE1698"/>
    <w:rsid w:val="00CE176F"/>
    <w:rsid w:val="00CE25DA"/>
    <w:rsid w:val="00CE2696"/>
    <w:rsid w:val="00CE2A7D"/>
    <w:rsid w:val="00CE2B2E"/>
    <w:rsid w:val="00CE38AF"/>
    <w:rsid w:val="00CE3DC7"/>
    <w:rsid w:val="00CE3F78"/>
    <w:rsid w:val="00CE4517"/>
    <w:rsid w:val="00CE4787"/>
    <w:rsid w:val="00CE4F3B"/>
    <w:rsid w:val="00CE5956"/>
    <w:rsid w:val="00CE6C6A"/>
    <w:rsid w:val="00CE6CB2"/>
    <w:rsid w:val="00CE7246"/>
    <w:rsid w:val="00CE779B"/>
    <w:rsid w:val="00CE7CE8"/>
    <w:rsid w:val="00CE7ED9"/>
    <w:rsid w:val="00CE7EF7"/>
    <w:rsid w:val="00CF00FA"/>
    <w:rsid w:val="00CF0BC2"/>
    <w:rsid w:val="00CF121E"/>
    <w:rsid w:val="00CF375A"/>
    <w:rsid w:val="00CF37FF"/>
    <w:rsid w:val="00CF41F3"/>
    <w:rsid w:val="00CF4204"/>
    <w:rsid w:val="00CF43FC"/>
    <w:rsid w:val="00CF444C"/>
    <w:rsid w:val="00CF48E3"/>
    <w:rsid w:val="00CF4D96"/>
    <w:rsid w:val="00CF4E9B"/>
    <w:rsid w:val="00CF5038"/>
    <w:rsid w:val="00CF57F3"/>
    <w:rsid w:val="00CF58B3"/>
    <w:rsid w:val="00CF617D"/>
    <w:rsid w:val="00CF729C"/>
    <w:rsid w:val="00CF76D3"/>
    <w:rsid w:val="00CF7AA4"/>
    <w:rsid w:val="00D009DF"/>
    <w:rsid w:val="00D00F6F"/>
    <w:rsid w:val="00D016D4"/>
    <w:rsid w:val="00D0186C"/>
    <w:rsid w:val="00D01DF0"/>
    <w:rsid w:val="00D020D3"/>
    <w:rsid w:val="00D02712"/>
    <w:rsid w:val="00D0331E"/>
    <w:rsid w:val="00D03B43"/>
    <w:rsid w:val="00D03CDE"/>
    <w:rsid w:val="00D04CF3"/>
    <w:rsid w:val="00D04F2B"/>
    <w:rsid w:val="00D05886"/>
    <w:rsid w:val="00D05EC7"/>
    <w:rsid w:val="00D05F9A"/>
    <w:rsid w:val="00D0620E"/>
    <w:rsid w:val="00D06AF1"/>
    <w:rsid w:val="00D073AD"/>
    <w:rsid w:val="00D078A4"/>
    <w:rsid w:val="00D07BE3"/>
    <w:rsid w:val="00D1127A"/>
    <w:rsid w:val="00D11569"/>
    <w:rsid w:val="00D1183F"/>
    <w:rsid w:val="00D126A1"/>
    <w:rsid w:val="00D13263"/>
    <w:rsid w:val="00D13F5F"/>
    <w:rsid w:val="00D1420E"/>
    <w:rsid w:val="00D14504"/>
    <w:rsid w:val="00D14C15"/>
    <w:rsid w:val="00D14C41"/>
    <w:rsid w:val="00D155D0"/>
    <w:rsid w:val="00D15B9B"/>
    <w:rsid w:val="00D15EF9"/>
    <w:rsid w:val="00D160FF"/>
    <w:rsid w:val="00D1654B"/>
    <w:rsid w:val="00D1671E"/>
    <w:rsid w:val="00D1689F"/>
    <w:rsid w:val="00D16B68"/>
    <w:rsid w:val="00D16B96"/>
    <w:rsid w:val="00D16DD7"/>
    <w:rsid w:val="00D16EDD"/>
    <w:rsid w:val="00D16EE0"/>
    <w:rsid w:val="00D16F06"/>
    <w:rsid w:val="00D17249"/>
    <w:rsid w:val="00D1757A"/>
    <w:rsid w:val="00D17CF9"/>
    <w:rsid w:val="00D20577"/>
    <w:rsid w:val="00D21762"/>
    <w:rsid w:val="00D22715"/>
    <w:rsid w:val="00D227E7"/>
    <w:rsid w:val="00D23188"/>
    <w:rsid w:val="00D23745"/>
    <w:rsid w:val="00D23D76"/>
    <w:rsid w:val="00D25830"/>
    <w:rsid w:val="00D25982"/>
    <w:rsid w:val="00D25A12"/>
    <w:rsid w:val="00D25B2D"/>
    <w:rsid w:val="00D260A7"/>
    <w:rsid w:val="00D2621C"/>
    <w:rsid w:val="00D26F4F"/>
    <w:rsid w:val="00D2726F"/>
    <w:rsid w:val="00D27798"/>
    <w:rsid w:val="00D279DF"/>
    <w:rsid w:val="00D27CDC"/>
    <w:rsid w:val="00D30185"/>
    <w:rsid w:val="00D30F7B"/>
    <w:rsid w:val="00D31470"/>
    <w:rsid w:val="00D318D5"/>
    <w:rsid w:val="00D31D25"/>
    <w:rsid w:val="00D31E25"/>
    <w:rsid w:val="00D32028"/>
    <w:rsid w:val="00D32932"/>
    <w:rsid w:val="00D32AA8"/>
    <w:rsid w:val="00D32C72"/>
    <w:rsid w:val="00D32DC1"/>
    <w:rsid w:val="00D33235"/>
    <w:rsid w:val="00D3365E"/>
    <w:rsid w:val="00D338E6"/>
    <w:rsid w:val="00D33C91"/>
    <w:rsid w:val="00D34571"/>
    <w:rsid w:val="00D34CCC"/>
    <w:rsid w:val="00D355F7"/>
    <w:rsid w:val="00D35C9C"/>
    <w:rsid w:val="00D3608F"/>
    <w:rsid w:val="00D36817"/>
    <w:rsid w:val="00D368BD"/>
    <w:rsid w:val="00D36EBD"/>
    <w:rsid w:val="00D37C71"/>
    <w:rsid w:val="00D37E8E"/>
    <w:rsid w:val="00D4003E"/>
    <w:rsid w:val="00D40AF7"/>
    <w:rsid w:val="00D41287"/>
    <w:rsid w:val="00D418A0"/>
    <w:rsid w:val="00D426E4"/>
    <w:rsid w:val="00D42832"/>
    <w:rsid w:val="00D42861"/>
    <w:rsid w:val="00D42EF9"/>
    <w:rsid w:val="00D42FA3"/>
    <w:rsid w:val="00D42FDB"/>
    <w:rsid w:val="00D43274"/>
    <w:rsid w:val="00D4373E"/>
    <w:rsid w:val="00D4377A"/>
    <w:rsid w:val="00D43EFF"/>
    <w:rsid w:val="00D44370"/>
    <w:rsid w:val="00D44DE4"/>
    <w:rsid w:val="00D450D1"/>
    <w:rsid w:val="00D4535D"/>
    <w:rsid w:val="00D456C7"/>
    <w:rsid w:val="00D45FBC"/>
    <w:rsid w:val="00D46170"/>
    <w:rsid w:val="00D465D6"/>
    <w:rsid w:val="00D467E2"/>
    <w:rsid w:val="00D46CFA"/>
    <w:rsid w:val="00D46DAB"/>
    <w:rsid w:val="00D46E24"/>
    <w:rsid w:val="00D46EE3"/>
    <w:rsid w:val="00D4776B"/>
    <w:rsid w:val="00D477EA"/>
    <w:rsid w:val="00D47AF7"/>
    <w:rsid w:val="00D5001A"/>
    <w:rsid w:val="00D5046B"/>
    <w:rsid w:val="00D505CE"/>
    <w:rsid w:val="00D506B0"/>
    <w:rsid w:val="00D50945"/>
    <w:rsid w:val="00D511AD"/>
    <w:rsid w:val="00D511F0"/>
    <w:rsid w:val="00D52071"/>
    <w:rsid w:val="00D520C1"/>
    <w:rsid w:val="00D5240D"/>
    <w:rsid w:val="00D52737"/>
    <w:rsid w:val="00D52D54"/>
    <w:rsid w:val="00D534BD"/>
    <w:rsid w:val="00D53AEA"/>
    <w:rsid w:val="00D53CF7"/>
    <w:rsid w:val="00D543CA"/>
    <w:rsid w:val="00D54957"/>
    <w:rsid w:val="00D54B2A"/>
    <w:rsid w:val="00D54FD6"/>
    <w:rsid w:val="00D5525E"/>
    <w:rsid w:val="00D556BB"/>
    <w:rsid w:val="00D56377"/>
    <w:rsid w:val="00D564CD"/>
    <w:rsid w:val="00D57194"/>
    <w:rsid w:val="00D576F2"/>
    <w:rsid w:val="00D57E6D"/>
    <w:rsid w:val="00D57FDD"/>
    <w:rsid w:val="00D601AC"/>
    <w:rsid w:val="00D60EB9"/>
    <w:rsid w:val="00D61166"/>
    <w:rsid w:val="00D6116E"/>
    <w:rsid w:val="00D61796"/>
    <w:rsid w:val="00D625D1"/>
    <w:rsid w:val="00D62E59"/>
    <w:rsid w:val="00D63AE8"/>
    <w:rsid w:val="00D64337"/>
    <w:rsid w:val="00D64730"/>
    <w:rsid w:val="00D6499D"/>
    <w:rsid w:val="00D65A14"/>
    <w:rsid w:val="00D66157"/>
    <w:rsid w:val="00D662EB"/>
    <w:rsid w:val="00D667FE"/>
    <w:rsid w:val="00D66936"/>
    <w:rsid w:val="00D66E24"/>
    <w:rsid w:val="00D671F8"/>
    <w:rsid w:val="00D67723"/>
    <w:rsid w:val="00D67778"/>
    <w:rsid w:val="00D70A19"/>
    <w:rsid w:val="00D70D7D"/>
    <w:rsid w:val="00D70E33"/>
    <w:rsid w:val="00D71069"/>
    <w:rsid w:val="00D72202"/>
    <w:rsid w:val="00D72E06"/>
    <w:rsid w:val="00D739C3"/>
    <w:rsid w:val="00D73AB7"/>
    <w:rsid w:val="00D73B45"/>
    <w:rsid w:val="00D73BE1"/>
    <w:rsid w:val="00D74212"/>
    <w:rsid w:val="00D748BF"/>
    <w:rsid w:val="00D74F23"/>
    <w:rsid w:val="00D7513E"/>
    <w:rsid w:val="00D7519E"/>
    <w:rsid w:val="00D751F1"/>
    <w:rsid w:val="00D75871"/>
    <w:rsid w:val="00D7753D"/>
    <w:rsid w:val="00D7758A"/>
    <w:rsid w:val="00D775DD"/>
    <w:rsid w:val="00D779AF"/>
    <w:rsid w:val="00D77AE4"/>
    <w:rsid w:val="00D80204"/>
    <w:rsid w:val="00D808DE"/>
    <w:rsid w:val="00D8098C"/>
    <w:rsid w:val="00D8099D"/>
    <w:rsid w:val="00D80B2E"/>
    <w:rsid w:val="00D8116C"/>
    <w:rsid w:val="00D81353"/>
    <w:rsid w:val="00D81383"/>
    <w:rsid w:val="00D81938"/>
    <w:rsid w:val="00D81A65"/>
    <w:rsid w:val="00D81F51"/>
    <w:rsid w:val="00D81FFA"/>
    <w:rsid w:val="00D8228A"/>
    <w:rsid w:val="00D8248B"/>
    <w:rsid w:val="00D829D6"/>
    <w:rsid w:val="00D82EFC"/>
    <w:rsid w:val="00D82FCD"/>
    <w:rsid w:val="00D83B24"/>
    <w:rsid w:val="00D83F0C"/>
    <w:rsid w:val="00D83FEC"/>
    <w:rsid w:val="00D8538B"/>
    <w:rsid w:val="00D854BF"/>
    <w:rsid w:val="00D85F73"/>
    <w:rsid w:val="00D863AC"/>
    <w:rsid w:val="00D86502"/>
    <w:rsid w:val="00D874F0"/>
    <w:rsid w:val="00D87CB3"/>
    <w:rsid w:val="00D87CD5"/>
    <w:rsid w:val="00D87F96"/>
    <w:rsid w:val="00D906E0"/>
    <w:rsid w:val="00D90760"/>
    <w:rsid w:val="00D91652"/>
    <w:rsid w:val="00D916B8"/>
    <w:rsid w:val="00D91847"/>
    <w:rsid w:val="00D91A01"/>
    <w:rsid w:val="00D91B78"/>
    <w:rsid w:val="00D91CFD"/>
    <w:rsid w:val="00D91E20"/>
    <w:rsid w:val="00D9242B"/>
    <w:rsid w:val="00D9270D"/>
    <w:rsid w:val="00D92AC8"/>
    <w:rsid w:val="00D92CF4"/>
    <w:rsid w:val="00D92EC1"/>
    <w:rsid w:val="00D92F93"/>
    <w:rsid w:val="00D92FDA"/>
    <w:rsid w:val="00D93099"/>
    <w:rsid w:val="00D9320C"/>
    <w:rsid w:val="00D93260"/>
    <w:rsid w:val="00D9333F"/>
    <w:rsid w:val="00D93588"/>
    <w:rsid w:val="00D93B4E"/>
    <w:rsid w:val="00D93CAA"/>
    <w:rsid w:val="00D93EDC"/>
    <w:rsid w:val="00D93F29"/>
    <w:rsid w:val="00D9400F"/>
    <w:rsid w:val="00D94012"/>
    <w:rsid w:val="00D943D2"/>
    <w:rsid w:val="00D94BA9"/>
    <w:rsid w:val="00D94F44"/>
    <w:rsid w:val="00D96471"/>
    <w:rsid w:val="00D970E8"/>
    <w:rsid w:val="00D97148"/>
    <w:rsid w:val="00D9769C"/>
    <w:rsid w:val="00DA11AA"/>
    <w:rsid w:val="00DA240B"/>
    <w:rsid w:val="00DA266C"/>
    <w:rsid w:val="00DA347F"/>
    <w:rsid w:val="00DA3977"/>
    <w:rsid w:val="00DA39A6"/>
    <w:rsid w:val="00DA3B12"/>
    <w:rsid w:val="00DA454E"/>
    <w:rsid w:val="00DA5430"/>
    <w:rsid w:val="00DA574B"/>
    <w:rsid w:val="00DA653F"/>
    <w:rsid w:val="00DA6810"/>
    <w:rsid w:val="00DA69FF"/>
    <w:rsid w:val="00DA6C1F"/>
    <w:rsid w:val="00DA7B96"/>
    <w:rsid w:val="00DA7E62"/>
    <w:rsid w:val="00DB0679"/>
    <w:rsid w:val="00DB0939"/>
    <w:rsid w:val="00DB09BC"/>
    <w:rsid w:val="00DB0DBC"/>
    <w:rsid w:val="00DB0F57"/>
    <w:rsid w:val="00DB1608"/>
    <w:rsid w:val="00DB1DEE"/>
    <w:rsid w:val="00DB2577"/>
    <w:rsid w:val="00DB368D"/>
    <w:rsid w:val="00DB3C65"/>
    <w:rsid w:val="00DB4040"/>
    <w:rsid w:val="00DB4290"/>
    <w:rsid w:val="00DB42BD"/>
    <w:rsid w:val="00DB48A9"/>
    <w:rsid w:val="00DB4A1E"/>
    <w:rsid w:val="00DB4E31"/>
    <w:rsid w:val="00DB4FFA"/>
    <w:rsid w:val="00DB5ACC"/>
    <w:rsid w:val="00DB5B0F"/>
    <w:rsid w:val="00DB5C3F"/>
    <w:rsid w:val="00DB5F8E"/>
    <w:rsid w:val="00DB64F8"/>
    <w:rsid w:val="00DB6766"/>
    <w:rsid w:val="00DB7454"/>
    <w:rsid w:val="00DB751C"/>
    <w:rsid w:val="00DB76FE"/>
    <w:rsid w:val="00DB7A8D"/>
    <w:rsid w:val="00DB7F39"/>
    <w:rsid w:val="00DC0E2A"/>
    <w:rsid w:val="00DC1682"/>
    <w:rsid w:val="00DC18A4"/>
    <w:rsid w:val="00DC18D5"/>
    <w:rsid w:val="00DC1BAE"/>
    <w:rsid w:val="00DC1BEA"/>
    <w:rsid w:val="00DC1CAC"/>
    <w:rsid w:val="00DC1F31"/>
    <w:rsid w:val="00DC2089"/>
    <w:rsid w:val="00DC25F6"/>
    <w:rsid w:val="00DC291F"/>
    <w:rsid w:val="00DC29DA"/>
    <w:rsid w:val="00DC2E1E"/>
    <w:rsid w:val="00DC3513"/>
    <w:rsid w:val="00DC369D"/>
    <w:rsid w:val="00DC3831"/>
    <w:rsid w:val="00DC3E85"/>
    <w:rsid w:val="00DC4588"/>
    <w:rsid w:val="00DC45DC"/>
    <w:rsid w:val="00DC45EA"/>
    <w:rsid w:val="00DC5159"/>
    <w:rsid w:val="00DC6317"/>
    <w:rsid w:val="00DC6326"/>
    <w:rsid w:val="00DC632E"/>
    <w:rsid w:val="00DC71A1"/>
    <w:rsid w:val="00DC7737"/>
    <w:rsid w:val="00DD04AB"/>
    <w:rsid w:val="00DD0649"/>
    <w:rsid w:val="00DD0F10"/>
    <w:rsid w:val="00DD10CF"/>
    <w:rsid w:val="00DD1F09"/>
    <w:rsid w:val="00DD23AA"/>
    <w:rsid w:val="00DD24B9"/>
    <w:rsid w:val="00DD2EAD"/>
    <w:rsid w:val="00DD347E"/>
    <w:rsid w:val="00DD3794"/>
    <w:rsid w:val="00DD40A5"/>
    <w:rsid w:val="00DD50DA"/>
    <w:rsid w:val="00DD53F5"/>
    <w:rsid w:val="00DD7639"/>
    <w:rsid w:val="00DD772B"/>
    <w:rsid w:val="00DD786E"/>
    <w:rsid w:val="00DD78C3"/>
    <w:rsid w:val="00DE0275"/>
    <w:rsid w:val="00DE02AA"/>
    <w:rsid w:val="00DE0347"/>
    <w:rsid w:val="00DE05E7"/>
    <w:rsid w:val="00DE0BE1"/>
    <w:rsid w:val="00DE0DF8"/>
    <w:rsid w:val="00DE0EA5"/>
    <w:rsid w:val="00DE1391"/>
    <w:rsid w:val="00DE146C"/>
    <w:rsid w:val="00DE14F4"/>
    <w:rsid w:val="00DE1FAA"/>
    <w:rsid w:val="00DE26DB"/>
    <w:rsid w:val="00DE29F7"/>
    <w:rsid w:val="00DE2BC8"/>
    <w:rsid w:val="00DE2EA6"/>
    <w:rsid w:val="00DE3EED"/>
    <w:rsid w:val="00DE401A"/>
    <w:rsid w:val="00DE4200"/>
    <w:rsid w:val="00DE480E"/>
    <w:rsid w:val="00DE48AA"/>
    <w:rsid w:val="00DE4AE1"/>
    <w:rsid w:val="00DE4E1F"/>
    <w:rsid w:val="00DE512E"/>
    <w:rsid w:val="00DE55EC"/>
    <w:rsid w:val="00DE5686"/>
    <w:rsid w:val="00DE5735"/>
    <w:rsid w:val="00DE5795"/>
    <w:rsid w:val="00DE585B"/>
    <w:rsid w:val="00DE5AE4"/>
    <w:rsid w:val="00DE5DD9"/>
    <w:rsid w:val="00DE60FF"/>
    <w:rsid w:val="00DE619C"/>
    <w:rsid w:val="00DE6889"/>
    <w:rsid w:val="00DE6C35"/>
    <w:rsid w:val="00DE6D0D"/>
    <w:rsid w:val="00DF0257"/>
    <w:rsid w:val="00DF0AFE"/>
    <w:rsid w:val="00DF0B79"/>
    <w:rsid w:val="00DF0B88"/>
    <w:rsid w:val="00DF1245"/>
    <w:rsid w:val="00DF2373"/>
    <w:rsid w:val="00DF2771"/>
    <w:rsid w:val="00DF4C38"/>
    <w:rsid w:val="00DF5378"/>
    <w:rsid w:val="00DF56E0"/>
    <w:rsid w:val="00DF5A4C"/>
    <w:rsid w:val="00DF5D62"/>
    <w:rsid w:val="00DF670B"/>
    <w:rsid w:val="00DF6BBC"/>
    <w:rsid w:val="00DF7292"/>
    <w:rsid w:val="00DF7905"/>
    <w:rsid w:val="00DF7EBA"/>
    <w:rsid w:val="00E000D4"/>
    <w:rsid w:val="00E00543"/>
    <w:rsid w:val="00E0055C"/>
    <w:rsid w:val="00E0060B"/>
    <w:rsid w:val="00E006FE"/>
    <w:rsid w:val="00E00838"/>
    <w:rsid w:val="00E00D51"/>
    <w:rsid w:val="00E00D82"/>
    <w:rsid w:val="00E012B2"/>
    <w:rsid w:val="00E01423"/>
    <w:rsid w:val="00E014BC"/>
    <w:rsid w:val="00E018FB"/>
    <w:rsid w:val="00E01A8D"/>
    <w:rsid w:val="00E01D4E"/>
    <w:rsid w:val="00E01F59"/>
    <w:rsid w:val="00E01FC6"/>
    <w:rsid w:val="00E02506"/>
    <w:rsid w:val="00E02AFE"/>
    <w:rsid w:val="00E03378"/>
    <w:rsid w:val="00E03813"/>
    <w:rsid w:val="00E03E33"/>
    <w:rsid w:val="00E0448A"/>
    <w:rsid w:val="00E049D7"/>
    <w:rsid w:val="00E04D6A"/>
    <w:rsid w:val="00E04F1D"/>
    <w:rsid w:val="00E05009"/>
    <w:rsid w:val="00E0513F"/>
    <w:rsid w:val="00E05284"/>
    <w:rsid w:val="00E05533"/>
    <w:rsid w:val="00E05547"/>
    <w:rsid w:val="00E05AFF"/>
    <w:rsid w:val="00E05C6D"/>
    <w:rsid w:val="00E05CFB"/>
    <w:rsid w:val="00E0647B"/>
    <w:rsid w:val="00E06A11"/>
    <w:rsid w:val="00E06EAF"/>
    <w:rsid w:val="00E06F7A"/>
    <w:rsid w:val="00E07B25"/>
    <w:rsid w:val="00E07E81"/>
    <w:rsid w:val="00E07FE4"/>
    <w:rsid w:val="00E10641"/>
    <w:rsid w:val="00E10834"/>
    <w:rsid w:val="00E11CE7"/>
    <w:rsid w:val="00E120AB"/>
    <w:rsid w:val="00E12226"/>
    <w:rsid w:val="00E12966"/>
    <w:rsid w:val="00E132B4"/>
    <w:rsid w:val="00E1334C"/>
    <w:rsid w:val="00E13578"/>
    <w:rsid w:val="00E14158"/>
    <w:rsid w:val="00E14175"/>
    <w:rsid w:val="00E14D16"/>
    <w:rsid w:val="00E1572C"/>
    <w:rsid w:val="00E15C4B"/>
    <w:rsid w:val="00E16068"/>
    <w:rsid w:val="00E161CF"/>
    <w:rsid w:val="00E165FB"/>
    <w:rsid w:val="00E1681E"/>
    <w:rsid w:val="00E16955"/>
    <w:rsid w:val="00E16A08"/>
    <w:rsid w:val="00E16F5A"/>
    <w:rsid w:val="00E1791A"/>
    <w:rsid w:val="00E20532"/>
    <w:rsid w:val="00E205D3"/>
    <w:rsid w:val="00E20A82"/>
    <w:rsid w:val="00E20E7A"/>
    <w:rsid w:val="00E21122"/>
    <w:rsid w:val="00E21ABA"/>
    <w:rsid w:val="00E21BC6"/>
    <w:rsid w:val="00E21C8C"/>
    <w:rsid w:val="00E22591"/>
    <w:rsid w:val="00E22733"/>
    <w:rsid w:val="00E22DEF"/>
    <w:rsid w:val="00E22E39"/>
    <w:rsid w:val="00E23A07"/>
    <w:rsid w:val="00E241EA"/>
    <w:rsid w:val="00E2467B"/>
    <w:rsid w:val="00E24F7B"/>
    <w:rsid w:val="00E2552E"/>
    <w:rsid w:val="00E256C3"/>
    <w:rsid w:val="00E25833"/>
    <w:rsid w:val="00E25896"/>
    <w:rsid w:val="00E25B59"/>
    <w:rsid w:val="00E25D7A"/>
    <w:rsid w:val="00E26042"/>
    <w:rsid w:val="00E264C3"/>
    <w:rsid w:val="00E26B2F"/>
    <w:rsid w:val="00E2723B"/>
    <w:rsid w:val="00E27306"/>
    <w:rsid w:val="00E275B5"/>
    <w:rsid w:val="00E27963"/>
    <w:rsid w:val="00E27DFC"/>
    <w:rsid w:val="00E30A3C"/>
    <w:rsid w:val="00E30D26"/>
    <w:rsid w:val="00E31607"/>
    <w:rsid w:val="00E31A39"/>
    <w:rsid w:val="00E322AD"/>
    <w:rsid w:val="00E323C2"/>
    <w:rsid w:val="00E32486"/>
    <w:rsid w:val="00E32739"/>
    <w:rsid w:val="00E329A2"/>
    <w:rsid w:val="00E32B76"/>
    <w:rsid w:val="00E32F2A"/>
    <w:rsid w:val="00E32F88"/>
    <w:rsid w:val="00E33141"/>
    <w:rsid w:val="00E331D4"/>
    <w:rsid w:val="00E3321E"/>
    <w:rsid w:val="00E3462A"/>
    <w:rsid w:val="00E34703"/>
    <w:rsid w:val="00E34D4A"/>
    <w:rsid w:val="00E3559D"/>
    <w:rsid w:val="00E357B7"/>
    <w:rsid w:val="00E35BA4"/>
    <w:rsid w:val="00E36545"/>
    <w:rsid w:val="00E36711"/>
    <w:rsid w:val="00E3674B"/>
    <w:rsid w:val="00E3689D"/>
    <w:rsid w:val="00E369CD"/>
    <w:rsid w:val="00E36A03"/>
    <w:rsid w:val="00E36E82"/>
    <w:rsid w:val="00E36FFA"/>
    <w:rsid w:val="00E37CFC"/>
    <w:rsid w:val="00E37DA9"/>
    <w:rsid w:val="00E37EB2"/>
    <w:rsid w:val="00E40061"/>
    <w:rsid w:val="00E40145"/>
    <w:rsid w:val="00E40B7F"/>
    <w:rsid w:val="00E4122F"/>
    <w:rsid w:val="00E4144A"/>
    <w:rsid w:val="00E41670"/>
    <w:rsid w:val="00E41E29"/>
    <w:rsid w:val="00E420AB"/>
    <w:rsid w:val="00E42278"/>
    <w:rsid w:val="00E42BD6"/>
    <w:rsid w:val="00E435C9"/>
    <w:rsid w:val="00E439DC"/>
    <w:rsid w:val="00E43A72"/>
    <w:rsid w:val="00E44E86"/>
    <w:rsid w:val="00E45557"/>
    <w:rsid w:val="00E457E2"/>
    <w:rsid w:val="00E45BA1"/>
    <w:rsid w:val="00E45C6E"/>
    <w:rsid w:val="00E45FBF"/>
    <w:rsid w:val="00E4748F"/>
    <w:rsid w:val="00E477AE"/>
    <w:rsid w:val="00E47DB8"/>
    <w:rsid w:val="00E47F31"/>
    <w:rsid w:val="00E5039D"/>
    <w:rsid w:val="00E50750"/>
    <w:rsid w:val="00E50B74"/>
    <w:rsid w:val="00E50ED4"/>
    <w:rsid w:val="00E51570"/>
    <w:rsid w:val="00E517A8"/>
    <w:rsid w:val="00E51C7C"/>
    <w:rsid w:val="00E51FD9"/>
    <w:rsid w:val="00E523D7"/>
    <w:rsid w:val="00E530AA"/>
    <w:rsid w:val="00E53C5A"/>
    <w:rsid w:val="00E53ECB"/>
    <w:rsid w:val="00E53FE6"/>
    <w:rsid w:val="00E545D7"/>
    <w:rsid w:val="00E54655"/>
    <w:rsid w:val="00E54969"/>
    <w:rsid w:val="00E5534A"/>
    <w:rsid w:val="00E553B9"/>
    <w:rsid w:val="00E55823"/>
    <w:rsid w:val="00E55F8B"/>
    <w:rsid w:val="00E56C10"/>
    <w:rsid w:val="00E56C92"/>
    <w:rsid w:val="00E56D91"/>
    <w:rsid w:val="00E57291"/>
    <w:rsid w:val="00E572E3"/>
    <w:rsid w:val="00E60312"/>
    <w:rsid w:val="00E60796"/>
    <w:rsid w:val="00E60F18"/>
    <w:rsid w:val="00E61051"/>
    <w:rsid w:val="00E6134A"/>
    <w:rsid w:val="00E616E5"/>
    <w:rsid w:val="00E619B1"/>
    <w:rsid w:val="00E61CFC"/>
    <w:rsid w:val="00E61EA8"/>
    <w:rsid w:val="00E62175"/>
    <w:rsid w:val="00E62A7B"/>
    <w:rsid w:val="00E62CD3"/>
    <w:rsid w:val="00E63462"/>
    <w:rsid w:val="00E63753"/>
    <w:rsid w:val="00E63C7C"/>
    <w:rsid w:val="00E6428C"/>
    <w:rsid w:val="00E646EB"/>
    <w:rsid w:val="00E6535F"/>
    <w:rsid w:val="00E658B9"/>
    <w:rsid w:val="00E659BE"/>
    <w:rsid w:val="00E664B7"/>
    <w:rsid w:val="00E66A51"/>
    <w:rsid w:val="00E66F8B"/>
    <w:rsid w:val="00E67892"/>
    <w:rsid w:val="00E6790F"/>
    <w:rsid w:val="00E67948"/>
    <w:rsid w:val="00E70509"/>
    <w:rsid w:val="00E708AA"/>
    <w:rsid w:val="00E714EC"/>
    <w:rsid w:val="00E71A6E"/>
    <w:rsid w:val="00E71AA3"/>
    <w:rsid w:val="00E72515"/>
    <w:rsid w:val="00E729E3"/>
    <w:rsid w:val="00E72A7B"/>
    <w:rsid w:val="00E72FCD"/>
    <w:rsid w:val="00E73031"/>
    <w:rsid w:val="00E731C7"/>
    <w:rsid w:val="00E73C8A"/>
    <w:rsid w:val="00E740D1"/>
    <w:rsid w:val="00E7413F"/>
    <w:rsid w:val="00E750C2"/>
    <w:rsid w:val="00E753F5"/>
    <w:rsid w:val="00E7585D"/>
    <w:rsid w:val="00E75FE2"/>
    <w:rsid w:val="00E7607F"/>
    <w:rsid w:val="00E76269"/>
    <w:rsid w:val="00E7660D"/>
    <w:rsid w:val="00E77063"/>
    <w:rsid w:val="00E77C3C"/>
    <w:rsid w:val="00E77D79"/>
    <w:rsid w:val="00E77DA8"/>
    <w:rsid w:val="00E80C09"/>
    <w:rsid w:val="00E835BA"/>
    <w:rsid w:val="00E83844"/>
    <w:rsid w:val="00E839E1"/>
    <w:rsid w:val="00E83B16"/>
    <w:rsid w:val="00E83F30"/>
    <w:rsid w:val="00E84657"/>
    <w:rsid w:val="00E84CA9"/>
    <w:rsid w:val="00E85359"/>
    <w:rsid w:val="00E85881"/>
    <w:rsid w:val="00E85CE9"/>
    <w:rsid w:val="00E860E4"/>
    <w:rsid w:val="00E86B8C"/>
    <w:rsid w:val="00E86DA7"/>
    <w:rsid w:val="00E86DBC"/>
    <w:rsid w:val="00E86FC6"/>
    <w:rsid w:val="00E8766F"/>
    <w:rsid w:val="00E8778B"/>
    <w:rsid w:val="00E90A3E"/>
    <w:rsid w:val="00E90B4D"/>
    <w:rsid w:val="00E90FF0"/>
    <w:rsid w:val="00E9166D"/>
    <w:rsid w:val="00E91687"/>
    <w:rsid w:val="00E917D3"/>
    <w:rsid w:val="00E91CA0"/>
    <w:rsid w:val="00E92004"/>
    <w:rsid w:val="00E921DC"/>
    <w:rsid w:val="00E925B3"/>
    <w:rsid w:val="00E92981"/>
    <w:rsid w:val="00E9314D"/>
    <w:rsid w:val="00E93512"/>
    <w:rsid w:val="00E939B0"/>
    <w:rsid w:val="00E93E5D"/>
    <w:rsid w:val="00E948CB"/>
    <w:rsid w:val="00E9497D"/>
    <w:rsid w:val="00E9547E"/>
    <w:rsid w:val="00E956CB"/>
    <w:rsid w:val="00E95AE4"/>
    <w:rsid w:val="00E96315"/>
    <w:rsid w:val="00E9640E"/>
    <w:rsid w:val="00E96518"/>
    <w:rsid w:val="00E96E11"/>
    <w:rsid w:val="00E970BD"/>
    <w:rsid w:val="00E9734D"/>
    <w:rsid w:val="00E9748D"/>
    <w:rsid w:val="00E974E0"/>
    <w:rsid w:val="00E97E3F"/>
    <w:rsid w:val="00E97E59"/>
    <w:rsid w:val="00E97EE7"/>
    <w:rsid w:val="00EA0B6E"/>
    <w:rsid w:val="00EA2205"/>
    <w:rsid w:val="00EA3141"/>
    <w:rsid w:val="00EA3851"/>
    <w:rsid w:val="00EA3A75"/>
    <w:rsid w:val="00EA4418"/>
    <w:rsid w:val="00EA4445"/>
    <w:rsid w:val="00EA478E"/>
    <w:rsid w:val="00EA4F94"/>
    <w:rsid w:val="00EA61FB"/>
    <w:rsid w:val="00EA6FD4"/>
    <w:rsid w:val="00EB10DD"/>
    <w:rsid w:val="00EB14AE"/>
    <w:rsid w:val="00EB1FBA"/>
    <w:rsid w:val="00EB2035"/>
    <w:rsid w:val="00EB2AC3"/>
    <w:rsid w:val="00EB2C21"/>
    <w:rsid w:val="00EB33CB"/>
    <w:rsid w:val="00EB3E57"/>
    <w:rsid w:val="00EB414F"/>
    <w:rsid w:val="00EB41C4"/>
    <w:rsid w:val="00EB45BE"/>
    <w:rsid w:val="00EB4C57"/>
    <w:rsid w:val="00EB5134"/>
    <w:rsid w:val="00EB5675"/>
    <w:rsid w:val="00EB57DA"/>
    <w:rsid w:val="00EB62AA"/>
    <w:rsid w:val="00EB65B3"/>
    <w:rsid w:val="00EB74E2"/>
    <w:rsid w:val="00EB75BD"/>
    <w:rsid w:val="00EC0765"/>
    <w:rsid w:val="00EC0F72"/>
    <w:rsid w:val="00EC10A4"/>
    <w:rsid w:val="00EC13FE"/>
    <w:rsid w:val="00EC18EF"/>
    <w:rsid w:val="00EC22BF"/>
    <w:rsid w:val="00EC27EB"/>
    <w:rsid w:val="00EC30A0"/>
    <w:rsid w:val="00EC3623"/>
    <w:rsid w:val="00EC3A99"/>
    <w:rsid w:val="00EC3ADC"/>
    <w:rsid w:val="00EC3B1E"/>
    <w:rsid w:val="00EC45A6"/>
    <w:rsid w:val="00EC5950"/>
    <w:rsid w:val="00EC677F"/>
    <w:rsid w:val="00EC7152"/>
    <w:rsid w:val="00EC7332"/>
    <w:rsid w:val="00EC7422"/>
    <w:rsid w:val="00EC7A3D"/>
    <w:rsid w:val="00ED02FD"/>
    <w:rsid w:val="00ED0355"/>
    <w:rsid w:val="00ED04A7"/>
    <w:rsid w:val="00ED1054"/>
    <w:rsid w:val="00ED12D2"/>
    <w:rsid w:val="00ED2611"/>
    <w:rsid w:val="00ED2864"/>
    <w:rsid w:val="00ED31A5"/>
    <w:rsid w:val="00ED3AA3"/>
    <w:rsid w:val="00ED3D52"/>
    <w:rsid w:val="00ED3FD2"/>
    <w:rsid w:val="00ED40A9"/>
    <w:rsid w:val="00ED41A0"/>
    <w:rsid w:val="00ED432E"/>
    <w:rsid w:val="00ED4B1F"/>
    <w:rsid w:val="00ED54CB"/>
    <w:rsid w:val="00ED55DF"/>
    <w:rsid w:val="00ED56A7"/>
    <w:rsid w:val="00ED5851"/>
    <w:rsid w:val="00ED5A8D"/>
    <w:rsid w:val="00ED5AFD"/>
    <w:rsid w:val="00ED5FBD"/>
    <w:rsid w:val="00ED70D9"/>
    <w:rsid w:val="00ED755A"/>
    <w:rsid w:val="00ED76C7"/>
    <w:rsid w:val="00ED7852"/>
    <w:rsid w:val="00ED798B"/>
    <w:rsid w:val="00ED79E0"/>
    <w:rsid w:val="00ED7AC8"/>
    <w:rsid w:val="00EE0868"/>
    <w:rsid w:val="00EE10CD"/>
    <w:rsid w:val="00EE2157"/>
    <w:rsid w:val="00EE2335"/>
    <w:rsid w:val="00EE2379"/>
    <w:rsid w:val="00EE255F"/>
    <w:rsid w:val="00EE2591"/>
    <w:rsid w:val="00EE304A"/>
    <w:rsid w:val="00EE3242"/>
    <w:rsid w:val="00EE38CE"/>
    <w:rsid w:val="00EE39AA"/>
    <w:rsid w:val="00EE3AAA"/>
    <w:rsid w:val="00EE3E24"/>
    <w:rsid w:val="00EE3F7F"/>
    <w:rsid w:val="00EE412A"/>
    <w:rsid w:val="00EE41BC"/>
    <w:rsid w:val="00EE4303"/>
    <w:rsid w:val="00EE5087"/>
    <w:rsid w:val="00EE54CE"/>
    <w:rsid w:val="00EE5A51"/>
    <w:rsid w:val="00EE5D7D"/>
    <w:rsid w:val="00EE6543"/>
    <w:rsid w:val="00EE697E"/>
    <w:rsid w:val="00EE6D5C"/>
    <w:rsid w:val="00EE72AC"/>
    <w:rsid w:val="00EE7490"/>
    <w:rsid w:val="00EE7EA7"/>
    <w:rsid w:val="00EE7FDF"/>
    <w:rsid w:val="00EF0692"/>
    <w:rsid w:val="00EF07C9"/>
    <w:rsid w:val="00EF0ED3"/>
    <w:rsid w:val="00EF113C"/>
    <w:rsid w:val="00EF134D"/>
    <w:rsid w:val="00EF1C65"/>
    <w:rsid w:val="00EF26B4"/>
    <w:rsid w:val="00EF2E56"/>
    <w:rsid w:val="00EF30DD"/>
    <w:rsid w:val="00EF32D7"/>
    <w:rsid w:val="00EF3B89"/>
    <w:rsid w:val="00EF457D"/>
    <w:rsid w:val="00EF480F"/>
    <w:rsid w:val="00EF4A61"/>
    <w:rsid w:val="00EF4B0D"/>
    <w:rsid w:val="00EF4F44"/>
    <w:rsid w:val="00EF51EE"/>
    <w:rsid w:val="00EF59C0"/>
    <w:rsid w:val="00EF5ED2"/>
    <w:rsid w:val="00EF6026"/>
    <w:rsid w:val="00EF66EF"/>
    <w:rsid w:val="00EF679E"/>
    <w:rsid w:val="00EF6BB5"/>
    <w:rsid w:val="00EF7AB3"/>
    <w:rsid w:val="00EF7AD0"/>
    <w:rsid w:val="00F00136"/>
    <w:rsid w:val="00F0017C"/>
    <w:rsid w:val="00F003C4"/>
    <w:rsid w:val="00F00738"/>
    <w:rsid w:val="00F00901"/>
    <w:rsid w:val="00F00A2C"/>
    <w:rsid w:val="00F00AFB"/>
    <w:rsid w:val="00F00C46"/>
    <w:rsid w:val="00F00DB4"/>
    <w:rsid w:val="00F00FE6"/>
    <w:rsid w:val="00F014D0"/>
    <w:rsid w:val="00F01589"/>
    <w:rsid w:val="00F0196D"/>
    <w:rsid w:val="00F01DE3"/>
    <w:rsid w:val="00F02760"/>
    <w:rsid w:val="00F0299D"/>
    <w:rsid w:val="00F033F1"/>
    <w:rsid w:val="00F03407"/>
    <w:rsid w:val="00F03449"/>
    <w:rsid w:val="00F03BF4"/>
    <w:rsid w:val="00F03C2A"/>
    <w:rsid w:val="00F03FA8"/>
    <w:rsid w:val="00F04842"/>
    <w:rsid w:val="00F05858"/>
    <w:rsid w:val="00F05F30"/>
    <w:rsid w:val="00F069A7"/>
    <w:rsid w:val="00F06FE3"/>
    <w:rsid w:val="00F07353"/>
    <w:rsid w:val="00F0781A"/>
    <w:rsid w:val="00F07A2F"/>
    <w:rsid w:val="00F100D3"/>
    <w:rsid w:val="00F1017E"/>
    <w:rsid w:val="00F10472"/>
    <w:rsid w:val="00F1051D"/>
    <w:rsid w:val="00F10B3F"/>
    <w:rsid w:val="00F10CD2"/>
    <w:rsid w:val="00F10E8D"/>
    <w:rsid w:val="00F10F52"/>
    <w:rsid w:val="00F111C1"/>
    <w:rsid w:val="00F1123C"/>
    <w:rsid w:val="00F113E1"/>
    <w:rsid w:val="00F11529"/>
    <w:rsid w:val="00F11E68"/>
    <w:rsid w:val="00F11F30"/>
    <w:rsid w:val="00F1225B"/>
    <w:rsid w:val="00F12A19"/>
    <w:rsid w:val="00F12B1B"/>
    <w:rsid w:val="00F136C6"/>
    <w:rsid w:val="00F13D8E"/>
    <w:rsid w:val="00F141D1"/>
    <w:rsid w:val="00F143BC"/>
    <w:rsid w:val="00F14625"/>
    <w:rsid w:val="00F14AB9"/>
    <w:rsid w:val="00F153D6"/>
    <w:rsid w:val="00F15888"/>
    <w:rsid w:val="00F15AF3"/>
    <w:rsid w:val="00F15DAD"/>
    <w:rsid w:val="00F15E5E"/>
    <w:rsid w:val="00F16457"/>
    <w:rsid w:val="00F165B7"/>
    <w:rsid w:val="00F16D11"/>
    <w:rsid w:val="00F1756F"/>
    <w:rsid w:val="00F177AD"/>
    <w:rsid w:val="00F17912"/>
    <w:rsid w:val="00F17950"/>
    <w:rsid w:val="00F179E8"/>
    <w:rsid w:val="00F17D77"/>
    <w:rsid w:val="00F20285"/>
    <w:rsid w:val="00F202AE"/>
    <w:rsid w:val="00F20767"/>
    <w:rsid w:val="00F20ADE"/>
    <w:rsid w:val="00F20B80"/>
    <w:rsid w:val="00F20E97"/>
    <w:rsid w:val="00F211D9"/>
    <w:rsid w:val="00F21429"/>
    <w:rsid w:val="00F21A59"/>
    <w:rsid w:val="00F21D07"/>
    <w:rsid w:val="00F22094"/>
    <w:rsid w:val="00F2285E"/>
    <w:rsid w:val="00F22B36"/>
    <w:rsid w:val="00F22B63"/>
    <w:rsid w:val="00F22BD6"/>
    <w:rsid w:val="00F23757"/>
    <w:rsid w:val="00F24060"/>
    <w:rsid w:val="00F24567"/>
    <w:rsid w:val="00F24A62"/>
    <w:rsid w:val="00F254E1"/>
    <w:rsid w:val="00F2590D"/>
    <w:rsid w:val="00F2617F"/>
    <w:rsid w:val="00F26575"/>
    <w:rsid w:val="00F265DE"/>
    <w:rsid w:val="00F26730"/>
    <w:rsid w:val="00F26865"/>
    <w:rsid w:val="00F269FF"/>
    <w:rsid w:val="00F3006B"/>
    <w:rsid w:val="00F30199"/>
    <w:rsid w:val="00F30906"/>
    <w:rsid w:val="00F30DC7"/>
    <w:rsid w:val="00F3106C"/>
    <w:rsid w:val="00F31397"/>
    <w:rsid w:val="00F315EF"/>
    <w:rsid w:val="00F3198D"/>
    <w:rsid w:val="00F32E90"/>
    <w:rsid w:val="00F33303"/>
    <w:rsid w:val="00F333D3"/>
    <w:rsid w:val="00F333DD"/>
    <w:rsid w:val="00F34A02"/>
    <w:rsid w:val="00F350EF"/>
    <w:rsid w:val="00F354AE"/>
    <w:rsid w:val="00F36075"/>
    <w:rsid w:val="00F3679E"/>
    <w:rsid w:val="00F37CC4"/>
    <w:rsid w:val="00F37FDB"/>
    <w:rsid w:val="00F4024A"/>
    <w:rsid w:val="00F40487"/>
    <w:rsid w:val="00F4099D"/>
    <w:rsid w:val="00F40C3C"/>
    <w:rsid w:val="00F41984"/>
    <w:rsid w:val="00F41E72"/>
    <w:rsid w:val="00F426F0"/>
    <w:rsid w:val="00F43960"/>
    <w:rsid w:val="00F44297"/>
    <w:rsid w:val="00F44A35"/>
    <w:rsid w:val="00F457F2"/>
    <w:rsid w:val="00F46039"/>
    <w:rsid w:val="00F46120"/>
    <w:rsid w:val="00F462BD"/>
    <w:rsid w:val="00F46317"/>
    <w:rsid w:val="00F46A07"/>
    <w:rsid w:val="00F46A59"/>
    <w:rsid w:val="00F46D5C"/>
    <w:rsid w:val="00F47E61"/>
    <w:rsid w:val="00F507CE"/>
    <w:rsid w:val="00F50D60"/>
    <w:rsid w:val="00F50EEB"/>
    <w:rsid w:val="00F51825"/>
    <w:rsid w:val="00F51A4A"/>
    <w:rsid w:val="00F530C1"/>
    <w:rsid w:val="00F5363D"/>
    <w:rsid w:val="00F53DF8"/>
    <w:rsid w:val="00F53F18"/>
    <w:rsid w:val="00F54140"/>
    <w:rsid w:val="00F542F4"/>
    <w:rsid w:val="00F54524"/>
    <w:rsid w:val="00F54733"/>
    <w:rsid w:val="00F5476F"/>
    <w:rsid w:val="00F54A16"/>
    <w:rsid w:val="00F54F97"/>
    <w:rsid w:val="00F5503E"/>
    <w:rsid w:val="00F55D0E"/>
    <w:rsid w:val="00F562AC"/>
    <w:rsid w:val="00F573BD"/>
    <w:rsid w:val="00F57BD2"/>
    <w:rsid w:val="00F57DE3"/>
    <w:rsid w:val="00F60455"/>
    <w:rsid w:val="00F60783"/>
    <w:rsid w:val="00F60902"/>
    <w:rsid w:val="00F60B2F"/>
    <w:rsid w:val="00F61BA4"/>
    <w:rsid w:val="00F61F05"/>
    <w:rsid w:val="00F62717"/>
    <w:rsid w:val="00F6292B"/>
    <w:rsid w:val="00F62B15"/>
    <w:rsid w:val="00F62EF0"/>
    <w:rsid w:val="00F62F45"/>
    <w:rsid w:val="00F63141"/>
    <w:rsid w:val="00F63653"/>
    <w:rsid w:val="00F63FFE"/>
    <w:rsid w:val="00F6435D"/>
    <w:rsid w:val="00F644C9"/>
    <w:rsid w:val="00F645A6"/>
    <w:rsid w:val="00F64C65"/>
    <w:rsid w:val="00F64D95"/>
    <w:rsid w:val="00F6525C"/>
    <w:rsid w:val="00F65C62"/>
    <w:rsid w:val="00F65D06"/>
    <w:rsid w:val="00F65D0F"/>
    <w:rsid w:val="00F6732D"/>
    <w:rsid w:val="00F67695"/>
    <w:rsid w:val="00F6796D"/>
    <w:rsid w:val="00F706EC"/>
    <w:rsid w:val="00F70876"/>
    <w:rsid w:val="00F70E5A"/>
    <w:rsid w:val="00F71111"/>
    <w:rsid w:val="00F711CE"/>
    <w:rsid w:val="00F724B0"/>
    <w:rsid w:val="00F72E39"/>
    <w:rsid w:val="00F72E6B"/>
    <w:rsid w:val="00F731E9"/>
    <w:rsid w:val="00F735E5"/>
    <w:rsid w:val="00F73B68"/>
    <w:rsid w:val="00F73F1E"/>
    <w:rsid w:val="00F743BE"/>
    <w:rsid w:val="00F743C8"/>
    <w:rsid w:val="00F74839"/>
    <w:rsid w:val="00F74BC7"/>
    <w:rsid w:val="00F74D6C"/>
    <w:rsid w:val="00F74EAC"/>
    <w:rsid w:val="00F758B7"/>
    <w:rsid w:val="00F759DE"/>
    <w:rsid w:val="00F75FDF"/>
    <w:rsid w:val="00F76BB9"/>
    <w:rsid w:val="00F77255"/>
    <w:rsid w:val="00F77504"/>
    <w:rsid w:val="00F778F4"/>
    <w:rsid w:val="00F80049"/>
    <w:rsid w:val="00F801B7"/>
    <w:rsid w:val="00F80D14"/>
    <w:rsid w:val="00F813C1"/>
    <w:rsid w:val="00F819D7"/>
    <w:rsid w:val="00F81E6A"/>
    <w:rsid w:val="00F82B1D"/>
    <w:rsid w:val="00F82F61"/>
    <w:rsid w:val="00F82F69"/>
    <w:rsid w:val="00F833B4"/>
    <w:rsid w:val="00F8442F"/>
    <w:rsid w:val="00F84C40"/>
    <w:rsid w:val="00F84C5B"/>
    <w:rsid w:val="00F84FEE"/>
    <w:rsid w:val="00F85224"/>
    <w:rsid w:val="00F852FB"/>
    <w:rsid w:val="00F859C0"/>
    <w:rsid w:val="00F85B84"/>
    <w:rsid w:val="00F85DF9"/>
    <w:rsid w:val="00F862AA"/>
    <w:rsid w:val="00F86A69"/>
    <w:rsid w:val="00F86C26"/>
    <w:rsid w:val="00F8706D"/>
    <w:rsid w:val="00F8720D"/>
    <w:rsid w:val="00F8727B"/>
    <w:rsid w:val="00F873FE"/>
    <w:rsid w:val="00F87492"/>
    <w:rsid w:val="00F878F1"/>
    <w:rsid w:val="00F87B5E"/>
    <w:rsid w:val="00F90274"/>
    <w:rsid w:val="00F903B9"/>
    <w:rsid w:val="00F9059D"/>
    <w:rsid w:val="00F9060D"/>
    <w:rsid w:val="00F9191B"/>
    <w:rsid w:val="00F92613"/>
    <w:rsid w:val="00F92949"/>
    <w:rsid w:val="00F92E4A"/>
    <w:rsid w:val="00F9331F"/>
    <w:rsid w:val="00F933D1"/>
    <w:rsid w:val="00F93528"/>
    <w:rsid w:val="00F94086"/>
    <w:rsid w:val="00F948B1"/>
    <w:rsid w:val="00F94F9A"/>
    <w:rsid w:val="00F95048"/>
    <w:rsid w:val="00F9589D"/>
    <w:rsid w:val="00F95BF7"/>
    <w:rsid w:val="00F95DD0"/>
    <w:rsid w:val="00F95E55"/>
    <w:rsid w:val="00F9688E"/>
    <w:rsid w:val="00F96C8F"/>
    <w:rsid w:val="00F96F06"/>
    <w:rsid w:val="00F97236"/>
    <w:rsid w:val="00FA05C3"/>
    <w:rsid w:val="00FA0E39"/>
    <w:rsid w:val="00FA1630"/>
    <w:rsid w:val="00FA1733"/>
    <w:rsid w:val="00FA18DF"/>
    <w:rsid w:val="00FA2559"/>
    <w:rsid w:val="00FA29B0"/>
    <w:rsid w:val="00FA2B55"/>
    <w:rsid w:val="00FA3A92"/>
    <w:rsid w:val="00FA3F56"/>
    <w:rsid w:val="00FA40B8"/>
    <w:rsid w:val="00FA4849"/>
    <w:rsid w:val="00FA4E35"/>
    <w:rsid w:val="00FA5B76"/>
    <w:rsid w:val="00FA5BC7"/>
    <w:rsid w:val="00FA5F1B"/>
    <w:rsid w:val="00FA61B9"/>
    <w:rsid w:val="00FA70C3"/>
    <w:rsid w:val="00FA750C"/>
    <w:rsid w:val="00FA7523"/>
    <w:rsid w:val="00FA7D68"/>
    <w:rsid w:val="00FA7FF3"/>
    <w:rsid w:val="00FB09D5"/>
    <w:rsid w:val="00FB0DF9"/>
    <w:rsid w:val="00FB12C4"/>
    <w:rsid w:val="00FB2170"/>
    <w:rsid w:val="00FB27B4"/>
    <w:rsid w:val="00FB3741"/>
    <w:rsid w:val="00FB3804"/>
    <w:rsid w:val="00FB399E"/>
    <w:rsid w:val="00FB3BA2"/>
    <w:rsid w:val="00FB4069"/>
    <w:rsid w:val="00FB47ED"/>
    <w:rsid w:val="00FB50E4"/>
    <w:rsid w:val="00FB550E"/>
    <w:rsid w:val="00FB5545"/>
    <w:rsid w:val="00FB5D91"/>
    <w:rsid w:val="00FB63C4"/>
    <w:rsid w:val="00FB6801"/>
    <w:rsid w:val="00FB693E"/>
    <w:rsid w:val="00FB7009"/>
    <w:rsid w:val="00FB7408"/>
    <w:rsid w:val="00FB7505"/>
    <w:rsid w:val="00FB7C66"/>
    <w:rsid w:val="00FC15DA"/>
    <w:rsid w:val="00FC1862"/>
    <w:rsid w:val="00FC188F"/>
    <w:rsid w:val="00FC1A4E"/>
    <w:rsid w:val="00FC1B40"/>
    <w:rsid w:val="00FC22F9"/>
    <w:rsid w:val="00FC2604"/>
    <w:rsid w:val="00FC28CC"/>
    <w:rsid w:val="00FC4512"/>
    <w:rsid w:val="00FC4CE5"/>
    <w:rsid w:val="00FC5029"/>
    <w:rsid w:val="00FC51B1"/>
    <w:rsid w:val="00FC62B5"/>
    <w:rsid w:val="00FC6338"/>
    <w:rsid w:val="00FC66B4"/>
    <w:rsid w:val="00FC6833"/>
    <w:rsid w:val="00FD0634"/>
    <w:rsid w:val="00FD1521"/>
    <w:rsid w:val="00FD1929"/>
    <w:rsid w:val="00FD214E"/>
    <w:rsid w:val="00FD219C"/>
    <w:rsid w:val="00FD2354"/>
    <w:rsid w:val="00FD2725"/>
    <w:rsid w:val="00FD2C70"/>
    <w:rsid w:val="00FD2CC7"/>
    <w:rsid w:val="00FD3C4A"/>
    <w:rsid w:val="00FD436D"/>
    <w:rsid w:val="00FD594C"/>
    <w:rsid w:val="00FD611B"/>
    <w:rsid w:val="00FD6350"/>
    <w:rsid w:val="00FD644B"/>
    <w:rsid w:val="00FD6844"/>
    <w:rsid w:val="00FD6CBC"/>
    <w:rsid w:val="00FD741A"/>
    <w:rsid w:val="00FD790E"/>
    <w:rsid w:val="00FD7B8D"/>
    <w:rsid w:val="00FD7D4B"/>
    <w:rsid w:val="00FD7EC0"/>
    <w:rsid w:val="00FE058E"/>
    <w:rsid w:val="00FE0B8B"/>
    <w:rsid w:val="00FE0E4C"/>
    <w:rsid w:val="00FE12E9"/>
    <w:rsid w:val="00FE20D8"/>
    <w:rsid w:val="00FE21BC"/>
    <w:rsid w:val="00FE25C1"/>
    <w:rsid w:val="00FE2AD2"/>
    <w:rsid w:val="00FE31C6"/>
    <w:rsid w:val="00FE3485"/>
    <w:rsid w:val="00FE3843"/>
    <w:rsid w:val="00FE402A"/>
    <w:rsid w:val="00FE4692"/>
    <w:rsid w:val="00FE48EA"/>
    <w:rsid w:val="00FE49D6"/>
    <w:rsid w:val="00FE51BC"/>
    <w:rsid w:val="00FE5A35"/>
    <w:rsid w:val="00FE60C7"/>
    <w:rsid w:val="00FE643A"/>
    <w:rsid w:val="00FF04D8"/>
    <w:rsid w:val="00FF140F"/>
    <w:rsid w:val="00FF1F86"/>
    <w:rsid w:val="00FF2402"/>
    <w:rsid w:val="00FF2B75"/>
    <w:rsid w:val="00FF3647"/>
    <w:rsid w:val="00FF3990"/>
    <w:rsid w:val="00FF3BD5"/>
    <w:rsid w:val="00FF3CDC"/>
    <w:rsid w:val="00FF4024"/>
    <w:rsid w:val="00FF41CE"/>
    <w:rsid w:val="00FF48A8"/>
    <w:rsid w:val="00FF48FD"/>
    <w:rsid w:val="00FF4A51"/>
    <w:rsid w:val="00FF4AA6"/>
    <w:rsid w:val="00FF4F50"/>
    <w:rsid w:val="00FF5306"/>
    <w:rsid w:val="00FF5899"/>
    <w:rsid w:val="00FF59AB"/>
    <w:rsid w:val="00FF5CD2"/>
    <w:rsid w:val="00FF5FB8"/>
    <w:rsid w:val="00FF6EE0"/>
    <w:rsid w:val="00FF75B8"/>
    <w:rsid w:val="00FF75F3"/>
    <w:rsid w:val="00FF77A6"/>
    <w:rsid w:val="00FF7C95"/>
    <w:rsid w:val="00FF7DE4"/>
    <w:rsid w:val="011A3A51"/>
    <w:rsid w:val="01217025"/>
    <w:rsid w:val="01652F5A"/>
    <w:rsid w:val="016914F7"/>
    <w:rsid w:val="018A70A3"/>
    <w:rsid w:val="01A8038C"/>
    <w:rsid w:val="01BD3673"/>
    <w:rsid w:val="01CB2A3D"/>
    <w:rsid w:val="02186987"/>
    <w:rsid w:val="022615BE"/>
    <w:rsid w:val="024A5338"/>
    <w:rsid w:val="025C5E7E"/>
    <w:rsid w:val="026D09BB"/>
    <w:rsid w:val="0296677A"/>
    <w:rsid w:val="02AA3B90"/>
    <w:rsid w:val="02BF73E8"/>
    <w:rsid w:val="02C94A91"/>
    <w:rsid w:val="02E57171"/>
    <w:rsid w:val="0346397F"/>
    <w:rsid w:val="03571CFE"/>
    <w:rsid w:val="038001D8"/>
    <w:rsid w:val="03C40A57"/>
    <w:rsid w:val="03EB62E0"/>
    <w:rsid w:val="0420374F"/>
    <w:rsid w:val="04246539"/>
    <w:rsid w:val="042977F1"/>
    <w:rsid w:val="0438511F"/>
    <w:rsid w:val="043B37A6"/>
    <w:rsid w:val="044679BE"/>
    <w:rsid w:val="044B6314"/>
    <w:rsid w:val="045F59A2"/>
    <w:rsid w:val="0493532A"/>
    <w:rsid w:val="04B05EF3"/>
    <w:rsid w:val="05277DFE"/>
    <w:rsid w:val="05756D2B"/>
    <w:rsid w:val="060A2089"/>
    <w:rsid w:val="068C4100"/>
    <w:rsid w:val="06A12FC2"/>
    <w:rsid w:val="06B01AB3"/>
    <w:rsid w:val="06FC158D"/>
    <w:rsid w:val="071A7BD4"/>
    <w:rsid w:val="077A28BB"/>
    <w:rsid w:val="07B01A04"/>
    <w:rsid w:val="07C63F99"/>
    <w:rsid w:val="07D33E24"/>
    <w:rsid w:val="080E0EF9"/>
    <w:rsid w:val="08273B01"/>
    <w:rsid w:val="08374FA6"/>
    <w:rsid w:val="08C120E9"/>
    <w:rsid w:val="08CC385E"/>
    <w:rsid w:val="08D1642E"/>
    <w:rsid w:val="08E054D1"/>
    <w:rsid w:val="08E85438"/>
    <w:rsid w:val="08FB0AED"/>
    <w:rsid w:val="0901265D"/>
    <w:rsid w:val="094A6EC0"/>
    <w:rsid w:val="099704B3"/>
    <w:rsid w:val="0A212872"/>
    <w:rsid w:val="0A247EEC"/>
    <w:rsid w:val="0A2C3CC4"/>
    <w:rsid w:val="0A415D83"/>
    <w:rsid w:val="0A997539"/>
    <w:rsid w:val="0AC9558A"/>
    <w:rsid w:val="0AD97E98"/>
    <w:rsid w:val="0AF36510"/>
    <w:rsid w:val="0B2348FF"/>
    <w:rsid w:val="0B5964BE"/>
    <w:rsid w:val="0BAE69FE"/>
    <w:rsid w:val="0BC820A5"/>
    <w:rsid w:val="0BEB009B"/>
    <w:rsid w:val="0BF74441"/>
    <w:rsid w:val="0C115F49"/>
    <w:rsid w:val="0C2505F0"/>
    <w:rsid w:val="0C2B5FE3"/>
    <w:rsid w:val="0C590CC2"/>
    <w:rsid w:val="0C7A6A49"/>
    <w:rsid w:val="0CF37BBE"/>
    <w:rsid w:val="0D3435BF"/>
    <w:rsid w:val="0D462FCF"/>
    <w:rsid w:val="0D6660EB"/>
    <w:rsid w:val="0D82211E"/>
    <w:rsid w:val="0D866FE7"/>
    <w:rsid w:val="0D9306C4"/>
    <w:rsid w:val="0D963F9D"/>
    <w:rsid w:val="0DB50279"/>
    <w:rsid w:val="0DFA0E27"/>
    <w:rsid w:val="0E4F66DF"/>
    <w:rsid w:val="0E520AF3"/>
    <w:rsid w:val="0E562752"/>
    <w:rsid w:val="0E72344D"/>
    <w:rsid w:val="0E7B56E7"/>
    <w:rsid w:val="0F192714"/>
    <w:rsid w:val="0F276267"/>
    <w:rsid w:val="0F352F9D"/>
    <w:rsid w:val="0FE0798C"/>
    <w:rsid w:val="0FE128A0"/>
    <w:rsid w:val="102473B1"/>
    <w:rsid w:val="104D7317"/>
    <w:rsid w:val="105008F3"/>
    <w:rsid w:val="10667F85"/>
    <w:rsid w:val="10A52C44"/>
    <w:rsid w:val="11241F63"/>
    <w:rsid w:val="11281924"/>
    <w:rsid w:val="11393129"/>
    <w:rsid w:val="115A082E"/>
    <w:rsid w:val="11DC68B7"/>
    <w:rsid w:val="11E26C2A"/>
    <w:rsid w:val="12212958"/>
    <w:rsid w:val="122753F9"/>
    <w:rsid w:val="123C4281"/>
    <w:rsid w:val="125C6666"/>
    <w:rsid w:val="127F2903"/>
    <w:rsid w:val="12847551"/>
    <w:rsid w:val="128F2B8B"/>
    <w:rsid w:val="12960762"/>
    <w:rsid w:val="12AC14C8"/>
    <w:rsid w:val="12BC698D"/>
    <w:rsid w:val="131273C1"/>
    <w:rsid w:val="13345174"/>
    <w:rsid w:val="1338284F"/>
    <w:rsid w:val="13573D22"/>
    <w:rsid w:val="13A8718E"/>
    <w:rsid w:val="13B64F2E"/>
    <w:rsid w:val="13C82A5B"/>
    <w:rsid w:val="13D43F15"/>
    <w:rsid w:val="13EF775C"/>
    <w:rsid w:val="141236D5"/>
    <w:rsid w:val="14567DF9"/>
    <w:rsid w:val="148D25C0"/>
    <w:rsid w:val="14B626C1"/>
    <w:rsid w:val="15006279"/>
    <w:rsid w:val="15825358"/>
    <w:rsid w:val="158B42D2"/>
    <w:rsid w:val="15D46901"/>
    <w:rsid w:val="15E10708"/>
    <w:rsid w:val="15E84BFF"/>
    <w:rsid w:val="16322E85"/>
    <w:rsid w:val="167A09B1"/>
    <w:rsid w:val="16895AFB"/>
    <w:rsid w:val="170952E3"/>
    <w:rsid w:val="17223155"/>
    <w:rsid w:val="1761582C"/>
    <w:rsid w:val="17942E09"/>
    <w:rsid w:val="18504869"/>
    <w:rsid w:val="186A7173"/>
    <w:rsid w:val="1883540D"/>
    <w:rsid w:val="18C10C4C"/>
    <w:rsid w:val="190524C2"/>
    <w:rsid w:val="193605CB"/>
    <w:rsid w:val="19657C30"/>
    <w:rsid w:val="196A5A13"/>
    <w:rsid w:val="19765FE0"/>
    <w:rsid w:val="197F75A9"/>
    <w:rsid w:val="1A374390"/>
    <w:rsid w:val="1A672EDE"/>
    <w:rsid w:val="1ABF513A"/>
    <w:rsid w:val="1AC836CB"/>
    <w:rsid w:val="1AD25F1E"/>
    <w:rsid w:val="1AD35D14"/>
    <w:rsid w:val="1B3042AB"/>
    <w:rsid w:val="1B3D2F95"/>
    <w:rsid w:val="1B576C05"/>
    <w:rsid w:val="1B792ECE"/>
    <w:rsid w:val="1BB02B01"/>
    <w:rsid w:val="1BB60210"/>
    <w:rsid w:val="1BDC4F1C"/>
    <w:rsid w:val="1BFA542B"/>
    <w:rsid w:val="1C6A0CF4"/>
    <w:rsid w:val="1C6C3D24"/>
    <w:rsid w:val="1C942586"/>
    <w:rsid w:val="1D052942"/>
    <w:rsid w:val="1D360C84"/>
    <w:rsid w:val="1D8455B3"/>
    <w:rsid w:val="1D9E7951"/>
    <w:rsid w:val="1DD1615D"/>
    <w:rsid w:val="1DEC235B"/>
    <w:rsid w:val="1E0554CE"/>
    <w:rsid w:val="1E1701F1"/>
    <w:rsid w:val="1E91122B"/>
    <w:rsid w:val="1EAD76C7"/>
    <w:rsid w:val="1EC405B3"/>
    <w:rsid w:val="1EC62EF3"/>
    <w:rsid w:val="1ED71DA1"/>
    <w:rsid w:val="1EF050AA"/>
    <w:rsid w:val="1F055063"/>
    <w:rsid w:val="1F1A37B5"/>
    <w:rsid w:val="1F1B5A94"/>
    <w:rsid w:val="1F377998"/>
    <w:rsid w:val="1F553D96"/>
    <w:rsid w:val="1F6916E7"/>
    <w:rsid w:val="1F9E2661"/>
    <w:rsid w:val="1FE56E37"/>
    <w:rsid w:val="1FFA50B9"/>
    <w:rsid w:val="20116FF3"/>
    <w:rsid w:val="20646EB5"/>
    <w:rsid w:val="20A269C6"/>
    <w:rsid w:val="20B81B87"/>
    <w:rsid w:val="20C805E3"/>
    <w:rsid w:val="20E3290C"/>
    <w:rsid w:val="210D3F18"/>
    <w:rsid w:val="212575CF"/>
    <w:rsid w:val="21354AC8"/>
    <w:rsid w:val="218B5F15"/>
    <w:rsid w:val="21CC62F6"/>
    <w:rsid w:val="21F77E2B"/>
    <w:rsid w:val="22032D4A"/>
    <w:rsid w:val="221B7259"/>
    <w:rsid w:val="22443EA6"/>
    <w:rsid w:val="22587AA3"/>
    <w:rsid w:val="227C2089"/>
    <w:rsid w:val="22815124"/>
    <w:rsid w:val="22891548"/>
    <w:rsid w:val="228B7EDB"/>
    <w:rsid w:val="229111F1"/>
    <w:rsid w:val="22BD0809"/>
    <w:rsid w:val="234B5F77"/>
    <w:rsid w:val="23917F9A"/>
    <w:rsid w:val="23954C93"/>
    <w:rsid w:val="23AA03DD"/>
    <w:rsid w:val="23EB5739"/>
    <w:rsid w:val="24602576"/>
    <w:rsid w:val="24A37BB9"/>
    <w:rsid w:val="24B24A3E"/>
    <w:rsid w:val="24D23AD4"/>
    <w:rsid w:val="24ED453C"/>
    <w:rsid w:val="25021128"/>
    <w:rsid w:val="25480FFF"/>
    <w:rsid w:val="2575161B"/>
    <w:rsid w:val="25832EDE"/>
    <w:rsid w:val="259169D1"/>
    <w:rsid w:val="25C4095F"/>
    <w:rsid w:val="25DA540F"/>
    <w:rsid w:val="25E0243F"/>
    <w:rsid w:val="260A4530"/>
    <w:rsid w:val="265D576D"/>
    <w:rsid w:val="26614179"/>
    <w:rsid w:val="2699640A"/>
    <w:rsid w:val="26C01FF8"/>
    <w:rsid w:val="26FC6D59"/>
    <w:rsid w:val="274836D9"/>
    <w:rsid w:val="276348F0"/>
    <w:rsid w:val="279C29ED"/>
    <w:rsid w:val="27AF270F"/>
    <w:rsid w:val="27BD4D03"/>
    <w:rsid w:val="280871EC"/>
    <w:rsid w:val="28273CF4"/>
    <w:rsid w:val="28574898"/>
    <w:rsid w:val="286B61C1"/>
    <w:rsid w:val="28780509"/>
    <w:rsid w:val="28AA4A25"/>
    <w:rsid w:val="28D3597B"/>
    <w:rsid w:val="28FE41C8"/>
    <w:rsid w:val="290272FF"/>
    <w:rsid w:val="29090C41"/>
    <w:rsid w:val="29265397"/>
    <w:rsid w:val="293A702E"/>
    <w:rsid w:val="298C695F"/>
    <w:rsid w:val="29B9432A"/>
    <w:rsid w:val="29ED0B9A"/>
    <w:rsid w:val="2A312833"/>
    <w:rsid w:val="2A3E6C13"/>
    <w:rsid w:val="2A4C6836"/>
    <w:rsid w:val="2A7511C3"/>
    <w:rsid w:val="2A7532FD"/>
    <w:rsid w:val="2A9A1690"/>
    <w:rsid w:val="2B05729B"/>
    <w:rsid w:val="2B1013F8"/>
    <w:rsid w:val="2B2F45BB"/>
    <w:rsid w:val="2B522140"/>
    <w:rsid w:val="2B576C3B"/>
    <w:rsid w:val="2B6A32C6"/>
    <w:rsid w:val="2B866AF7"/>
    <w:rsid w:val="2B867FF8"/>
    <w:rsid w:val="2B99002E"/>
    <w:rsid w:val="2BBF3307"/>
    <w:rsid w:val="2BC47FD4"/>
    <w:rsid w:val="2BE56CF9"/>
    <w:rsid w:val="2BE80638"/>
    <w:rsid w:val="2C2311EB"/>
    <w:rsid w:val="2C5C1CB8"/>
    <w:rsid w:val="2C7501C2"/>
    <w:rsid w:val="2C89266D"/>
    <w:rsid w:val="2CB722E9"/>
    <w:rsid w:val="2CC92725"/>
    <w:rsid w:val="2CE64CFA"/>
    <w:rsid w:val="2D4D0146"/>
    <w:rsid w:val="2D7F71A2"/>
    <w:rsid w:val="2DA626DC"/>
    <w:rsid w:val="2DB15D9D"/>
    <w:rsid w:val="2DC21DBA"/>
    <w:rsid w:val="2DE30C83"/>
    <w:rsid w:val="2DF328CA"/>
    <w:rsid w:val="2E58472D"/>
    <w:rsid w:val="2E5E62A2"/>
    <w:rsid w:val="2E9A512C"/>
    <w:rsid w:val="2EE9563E"/>
    <w:rsid w:val="2F222401"/>
    <w:rsid w:val="2F5E29FE"/>
    <w:rsid w:val="2F6E73A3"/>
    <w:rsid w:val="2F86236B"/>
    <w:rsid w:val="2F8B6696"/>
    <w:rsid w:val="2FA6785A"/>
    <w:rsid w:val="2FA72F1D"/>
    <w:rsid w:val="2FAE7265"/>
    <w:rsid w:val="2FB66DE1"/>
    <w:rsid w:val="2FE7382D"/>
    <w:rsid w:val="2FF756A8"/>
    <w:rsid w:val="301D2ADB"/>
    <w:rsid w:val="303339C0"/>
    <w:rsid w:val="303603B4"/>
    <w:rsid w:val="305626A5"/>
    <w:rsid w:val="305A39F1"/>
    <w:rsid w:val="308A0524"/>
    <w:rsid w:val="30AD4F6B"/>
    <w:rsid w:val="30C576D4"/>
    <w:rsid w:val="31362BBC"/>
    <w:rsid w:val="3143020F"/>
    <w:rsid w:val="31612156"/>
    <w:rsid w:val="316D75EB"/>
    <w:rsid w:val="318B2990"/>
    <w:rsid w:val="319A3775"/>
    <w:rsid w:val="31A55287"/>
    <w:rsid w:val="31B65008"/>
    <w:rsid w:val="31C51DA9"/>
    <w:rsid w:val="32080EED"/>
    <w:rsid w:val="321B204C"/>
    <w:rsid w:val="321C5E39"/>
    <w:rsid w:val="32294397"/>
    <w:rsid w:val="327B42B7"/>
    <w:rsid w:val="3296275C"/>
    <w:rsid w:val="32A278C3"/>
    <w:rsid w:val="32BE49D6"/>
    <w:rsid w:val="33085A8C"/>
    <w:rsid w:val="33356F66"/>
    <w:rsid w:val="3343666E"/>
    <w:rsid w:val="335274AE"/>
    <w:rsid w:val="335B3267"/>
    <w:rsid w:val="33844476"/>
    <w:rsid w:val="33D57926"/>
    <w:rsid w:val="33DF06B0"/>
    <w:rsid w:val="33FE7D36"/>
    <w:rsid w:val="3404534B"/>
    <w:rsid w:val="341D6A66"/>
    <w:rsid w:val="344C09F6"/>
    <w:rsid w:val="3450679D"/>
    <w:rsid w:val="34771989"/>
    <w:rsid w:val="34852E3F"/>
    <w:rsid w:val="348D39D5"/>
    <w:rsid w:val="34B54FFE"/>
    <w:rsid w:val="34E13787"/>
    <w:rsid w:val="350E533D"/>
    <w:rsid w:val="35573B5F"/>
    <w:rsid w:val="3579095B"/>
    <w:rsid w:val="35AF028A"/>
    <w:rsid w:val="35B333E4"/>
    <w:rsid w:val="35CD3A5B"/>
    <w:rsid w:val="36404BA7"/>
    <w:rsid w:val="368E7A79"/>
    <w:rsid w:val="369548FE"/>
    <w:rsid w:val="36B13108"/>
    <w:rsid w:val="36BC5291"/>
    <w:rsid w:val="36E01A20"/>
    <w:rsid w:val="36F16AA7"/>
    <w:rsid w:val="37151609"/>
    <w:rsid w:val="371C600B"/>
    <w:rsid w:val="376135E1"/>
    <w:rsid w:val="37620CC1"/>
    <w:rsid w:val="377669B6"/>
    <w:rsid w:val="37843FD3"/>
    <w:rsid w:val="379A47AB"/>
    <w:rsid w:val="37A066BE"/>
    <w:rsid w:val="37B02F49"/>
    <w:rsid w:val="37D92CB9"/>
    <w:rsid w:val="37FF4DDA"/>
    <w:rsid w:val="38165506"/>
    <w:rsid w:val="38831048"/>
    <w:rsid w:val="388C6CFA"/>
    <w:rsid w:val="38E40535"/>
    <w:rsid w:val="38F711D0"/>
    <w:rsid w:val="38FF5D30"/>
    <w:rsid w:val="3941133D"/>
    <w:rsid w:val="397E231E"/>
    <w:rsid w:val="399B6FB2"/>
    <w:rsid w:val="39C22043"/>
    <w:rsid w:val="39D73AC9"/>
    <w:rsid w:val="39E64797"/>
    <w:rsid w:val="3A1B3779"/>
    <w:rsid w:val="3A8064B4"/>
    <w:rsid w:val="3AE26DAC"/>
    <w:rsid w:val="3B177280"/>
    <w:rsid w:val="3B181079"/>
    <w:rsid w:val="3B352F3F"/>
    <w:rsid w:val="3B5F3932"/>
    <w:rsid w:val="3B6D037E"/>
    <w:rsid w:val="3BC03280"/>
    <w:rsid w:val="3BE467E9"/>
    <w:rsid w:val="3BFD44A4"/>
    <w:rsid w:val="3C1E68E5"/>
    <w:rsid w:val="3C2F6435"/>
    <w:rsid w:val="3C45051C"/>
    <w:rsid w:val="3C5A4BC8"/>
    <w:rsid w:val="3C662F67"/>
    <w:rsid w:val="3D10013B"/>
    <w:rsid w:val="3D1206D2"/>
    <w:rsid w:val="3D1A7227"/>
    <w:rsid w:val="3D367445"/>
    <w:rsid w:val="3D72106E"/>
    <w:rsid w:val="3DB64C94"/>
    <w:rsid w:val="3DBA493C"/>
    <w:rsid w:val="3DC9107A"/>
    <w:rsid w:val="3DD13126"/>
    <w:rsid w:val="3DD5630D"/>
    <w:rsid w:val="3DD822E3"/>
    <w:rsid w:val="3E2145F8"/>
    <w:rsid w:val="3E215DD6"/>
    <w:rsid w:val="3E247664"/>
    <w:rsid w:val="3E4F4272"/>
    <w:rsid w:val="3E742852"/>
    <w:rsid w:val="3E894C85"/>
    <w:rsid w:val="3EB41945"/>
    <w:rsid w:val="3EB5405F"/>
    <w:rsid w:val="3EBE1F3A"/>
    <w:rsid w:val="3EEC31FC"/>
    <w:rsid w:val="3F213E3E"/>
    <w:rsid w:val="3F337158"/>
    <w:rsid w:val="3FA24E97"/>
    <w:rsid w:val="3FAD015A"/>
    <w:rsid w:val="3FC96071"/>
    <w:rsid w:val="3FF7300A"/>
    <w:rsid w:val="4003194A"/>
    <w:rsid w:val="400A03FF"/>
    <w:rsid w:val="400E755D"/>
    <w:rsid w:val="405B262E"/>
    <w:rsid w:val="405F39C7"/>
    <w:rsid w:val="40667AC7"/>
    <w:rsid w:val="406D50A7"/>
    <w:rsid w:val="40B04A73"/>
    <w:rsid w:val="40BB0546"/>
    <w:rsid w:val="40BE5B18"/>
    <w:rsid w:val="40BF1D7B"/>
    <w:rsid w:val="40D96D5D"/>
    <w:rsid w:val="40E546A1"/>
    <w:rsid w:val="40FC63CE"/>
    <w:rsid w:val="40FD52CA"/>
    <w:rsid w:val="410D0FB8"/>
    <w:rsid w:val="4154657A"/>
    <w:rsid w:val="41575DC6"/>
    <w:rsid w:val="415D0279"/>
    <w:rsid w:val="417B5445"/>
    <w:rsid w:val="41902EF3"/>
    <w:rsid w:val="41BF0C20"/>
    <w:rsid w:val="41F7145E"/>
    <w:rsid w:val="42063F53"/>
    <w:rsid w:val="423E3D38"/>
    <w:rsid w:val="42524B5F"/>
    <w:rsid w:val="42C31A5D"/>
    <w:rsid w:val="42DB14AB"/>
    <w:rsid w:val="43000066"/>
    <w:rsid w:val="431344EA"/>
    <w:rsid w:val="43253134"/>
    <w:rsid w:val="43364235"/>
    <w:rsid w:val="434D4DCE"/>
    <w:rsid w:val="43546B17"/>
    <w:rsid w:val="43643268"/>
    <w:rsid w:val="437B064D"/>
    <w:rsid w:val="43AA3E89"/>
    <w:rsid w:val="43C2487A"/>
    <w:rsid w:val="43CC47B7"/>
    <w:rsid w:val="444602FF"/>
    <w:rsid w:val="449B24F5"/>
    <w:rsid w:val="44AB2D86"/>
    <w:rsid w:val="44CE7025"/>
    <w:rsid w:val="44E97208"/>
    <w:rsid w:val="44EF7079"/>
    <w:rsid w:val="451432DE"/>
    <w:rsid w:val="45164479"/>
    <w:rsid w:val="452371CC"/>
    <w:rsid w:val="45383C28"/>
    <w:rsid w:val="45422C41"/>
    <w:rsid w:val="454C6D95"/>
    <w:rsid w:val="459C6F06"/>
    <w:rsid w:val="45F22DFB"/>
    <w:rsid w:val="46081FFA"/>
    <w:rsid w:val="460D41D0"/>
    <w:rsid w:val="465144CF"/>
    <w:rsid w:val="46644B68"/>
    <w:rsid w:val="467779CA"/>
    <w:rsid w:val="469A206C"/>
    <w:rsid w:val="46CE2A67"/>
    <w:rsid w:val="46D27B95"/>
    <w:rsid w:val="46EC4A4D"/>
    <w:rsid w:val="470B0EED"/>
    <w:rsid w:val="472E4BCB"/>
    <w:rsid w:val="47317202"/>
    <w:rsid w:val="4740182F"/>
    <w:rsid w:val="47410E9C"/>
    <w:rsid w:val="47C933EA"/>
    <w:rsid w:val="480A50CA"/>
    <w:rsid w:val="48174FF8"/>
    <w:rsid w:val="481E2C42"/>
    <w:rsid w:val="48BA7F33"/>
    <w:rsid w:val="48E852FE"/>
    <w:rsid w:val="4969581B"/>
    <w:rsid w:val="49DA6F1A"/>
    <w:rsid w:val="4A035A7D"/>
    <w:rsid w:val="4A0950F9"/>
    <w:rsid w:val="4A674493"/>
    <w:rsid w:val="4A7E3DAB"/>
    <w:rsid w:val="4AA1095F"/>
    <w:rsid w:val="4B2647E6"/>
    <w:rsid w:val="4B5279E8"/>
    <w:rsid w:val="4B5B2CC9"/>
    <w:rsid w:val="4B7B5751"/>
    <w:rsid w:val="4BA866FE"/>
    <w:rsid w:val="4BB46AE9"/>
    <w:rsid w:val="4BBA2A0E"/>
    <w:rsid w:val="4BC11A42"/>
    <w:rsid w:val="4BC36B54"/>
    <w:rsid w:val="4BD67C4A"/>
    <w:rsid w:val="4BF51221"/>
    <w:rsid w:val="4BFB2D9F"/>
    <w:rsid w:val="4C0E5B31"/>
    <w:rsid w:val="4C40102C"/>
    <w:rsid w:val="4C892610"/>
    <w:rsid w:val="4CCB21F6"/>
    <w:rsid w:val="4CF51073"/>
    <w:rsid w:val="4CF87DD5"/>
    <w:rsid w:val="4D173BA3"/>
    <w:rsid w:val="4D19530D"/>
    <w:rsid w:val="4D363E28"/>
    <w:rsid w:val="4D3671FE"/>
    <w:rsid w:val="4D3B57BB"/>
    <w:rsid w:val="4D4B56F7"/>
    <w:rsid w:val="4D8314D1"/>
    <w:rsid w:val="4DD8201A"/>
    <w:rsid w:val="4E284642"/>
    <w:rsid w:val="4E691C94"/>
    <w:rsid w:val="4E713381"/>
    <w:rsid w:val="4E7F525A"/>
    <w:rsid w:val="4E980D97"/>
    <w:rsid w:val="4EF34C0F"/>
    <w:rsid w:val="4F2166AE"/>
    <w:rsid w:val="4F7D61C7"/>
    <w:rsid w:val="4F847768"/>
    <w:rsid w:val="4FB604C9"/>
    <w:rsid w:val="4FEF6D6D"/>
    <w:rsid w:val="501A350C"/>
    <w:rsid w:val="5025506B"/>
    <w:rsid w:val="502D3ABA"/>
    <w:rsid w:val="50322B0B"/>
    <w:rsid w:val="50736CEF"/>
    <w:rsid w:val="50A65AD9"/>
    <w:rsid w:val="50D80F5B"/>
    <w:rsid w:val="512E39C9"/>
    <w:rsid w:val="513935DC"/>
    <w:rsid w:val="51CB3C7C"/>
    <w:rsid w:val="51F35868"/>
    <w:rsid w:val="51FC2327"/>
    <w:rsid w:val="51FF1B7F"/>
    <w:rsid w:val="52026B58"/>
    <w:rsid w:val="522917A2"/>
    <w:rsid w:val="522B1357"/>
    <w:rsid w:val="525432FC"/>
    <w:rsid w:val="528319A4"/>
    <w:rsid w:val="529B6D74"/>
    <w:rsid w:val="52A004F0"/>
    <w:rsid w:val="52A812C7"/>
    <w:rsid w:val="52E60024"/>
    <w:rsid w:val="52F07E3C"/>
    <w:rsid w:val="52F45E95"/>
    <w:rsid w:val="52FE22C5"/>
    <w:rsid w:val="53205CBB"/>
    <w:rsid w:val="532234F7"/>
    <w:rsid w:val="53413273"/>
    <w:rsid w:val="53A5580F"/>
    <w:rsid w:val="53B743C9"/>
    <w:rsid w:val="53C06263"/>
    <w:rsid w:val="53E44DB8"/>
    <w:rsid w:val="53EA4CCB"/>
    <w:rsid w:val="54052887"/>
    <w:rsid w:val="540857D3"/>
    <w:rsid w:val="542B4BD1"/>
    <w:rsid w:val="542F49D3"/>
    <w:rsid w:val="543B4AEA"/>
    <w:rsid w:val="54406A85"/>
    <w:rsid w:val="54692386"/>
    <w:rsid w:val="547E240E"/>
    <w:rsid w:val="54DA0074"/>
    <w:rsid w:val="54E509A6"/>
    <w:rsid w:val="54EA491C"/>
    <w:rsid w:val="54F01A8C"/>
    <w:rsid w:val="55097207"/>
    <w:rsid w:val="553665DD"/>
    <w:rsid w:val="554C72BC"/>
    <w:rsid w:val="55537446"/>
    <w:rsid w:val="55573CDC"/>
    <w:rsid w:val="55645079"/>
    <w:rsid w:val="55755E2C"/>
    <w:rsid w:val="55AD1EDC"/>
    <w:rsid w:val="55B4007F"/>
    <w:rsid w:val="55EA70A0"/>
    <w:rsid w:val="55F663E8"/>
    <w:rsid w:val="55FA397B"/>
    <w:rsid w:val="56053756"/>
    <w:rsid w:val="56151BD2"/>
    <w:rsid w:val="561A1BAF"/>
    <w:rsid w:val="56235519"/>
    <w:rsid w:val="56872318"/>
    <w:rsid w:val="56A978FC"/>
    <w:rsid w:val="56AE63AD"/>
    <w:rsid w:val="56FE35CB"/>
    <w:rsid w:val="56FE4175"/>
    <w:rsid w:val="570008F5"/>
    <w:rsid w:val="57052381"/>
    <w:rsid w:val="5706008F"/>
    <w:rsid w:val="573C654E"/>
    <w:rsid w:val="574B3B87"/>
    <w:rsid w:val="57825C23"/>
    <w:rsid w:val="57E202FA"/>
    <w:rsid w:val="57E224DE"/>
    <w:rsid w:val="57EF0C1E"/>
    <w:rsid w:val="58314019"/>
    <w:rsid w:val="586367FD"/>
    <w:rsid w:val="58A272FD"/>
    <w:rsid w:val="58AA1A94"/>
    <w:rsid w:val="58BF28E7"/>
    <w:rsid w:val="59026323"/>
    <w:rsid w:val="590D07C2"/>
    <w:rsid w:val="59136745"/>
    <w:rsid w:val="5914723F"/>
    <w:rsid w:val="59546D0C"/>
    <w:rsid w:val="59A01D77"/>
    <w:rsid w:val="59B979C8"/>
    <w:rsid w:val="59BD7748"/>
    <w:rsid w:val="59DC70FA"/>
    <w:rsid w:val="5A072186"/>
    <w:rsid w:val="5A6F60C0"/>
    <w:rsid w:val="5A85539F"/>
    <w:rsid w:val="5A9544BB"/>
    <w:rsid w:val="5AC90EE2"/>
    <w:rsid w:val="5B1741E3"/>
    <w:rsid w:val="5B40787B"/>
    <w:rsid w:val="5B5102B5"/>
    <w:rsid w:val="5B794B22"/>
    <w:rsid w:val="5B9A6D35"/>
    <w:rsid w:val="5BB537B9"/>
    <w:rsid w:val="5C1C737D"/>
    <w:rsid w:val="5C300F2C"/>
    <w:rsid w:val="5C437C32"/>
    <w:rsid w:val="5C6D134C"/>
    <w:rsid w:val="5C867A50"/>
    <w:rsid w:val="5CD11C08"/>
    <w:rsid w:val="5CD96214"/>
    <w:rsid w:val="5CDE0D98"/>
    <w:rsid w:val="5CE906AD"/>
    <w:rsid w:val="5CF0071C"/>
    <w:rsid w:val="5D36689D"/>
    <w:rsid w:val="5D4E5863"/>
    <w:rsid w:val="5D596DED"/>
    <w:rsid w:val="5D5D2A2B"/>
    <w:rsid w:val="5D785C30"/>
    <w:rsid w:val="5D926555"/>
    <w:rsid w:val="5D9F7527"/>
    <w:rsid w:val="5DC574E7"/>
    <w:rsid w:val="5DF2262B"/>
    <w:rsid w:val="5E0A7A36"/>
    <w:rsid w:val="5E347C19"/>
    <w:rsid w:val="5E5B0608"/>
    <w:rsid w:val="5E613F39"/>
    <w:rsid w:val="5EC05223"/>
    <w:rsid w:val="5EDF5583"/>
    <w:rsid w:val="5EEA3587"/>
    <w:rsid w:val="5F5758B3"/>
    <w:rsid w:val="5F59381B"/>
    <w:rsid w:val="5F8544E6"/>
    <w:rsid w:val="5FE82161"/>
    <w:rsid w:val="60263800"/>
    <w:rsid w:val="60E05459"/>
    <w:rsid w:val="60E12345"/>
    <w:rsid w:val="61066859"/>
    <w:rsid w:val="615144DA"/>
    <w:rsid w:val="61544006"/>
    <w:rsid w:val="619D15FB"/>
    <w:rsid w:val="61B60EDC"/>
    <w:rsid w:val="61C46EB7"/>
    <w:rsid w:val="61D75FAE"/>
    <w:rsid w:val="61ED6640"/>
    <w:rsid w:val="621F795D"/>
    <w:rsid w:val="622C51F4"/>
    <w:rsid w:val="62480D10"/>
    <w:rsid w:val="627F1715"/>
    <w:rsid w:val="62915AEA"/>
    <w:rsid w:val="62F0722A"/>
    <w:rsid w:val="63355CBB"/>
    <w:rsid w:val="635C55B5"/>
    <w:rsid w:val="63675A1B"/>
    <w:rsid w:val="638E3E77"/>
    <w:rsid w:val="63A722F1"/>
    <w:rsid w:val="63DC06E0"/>
    <w:rsid w:val="641B4035"/>
    <w:rsid w:val="64221C28"/>
    <w:rsid w:val="642311C7"/>
    <w:rsid w:val="64293E4E"/>
    <w:rsid w:val="6457082A"/>
    <w:rsid w:val="64AF3F44"/>
    <w:rsid w:val="64D0476C"/>
    <w:rsid w:val="64F5266D"/>
    <w:rsid w:val="652A0546"/>
    <w:rsid w:val="654B6BD7"/>
    <w:rsid w:val="657C1E6F"/>
    <w:rsid w:val="65D45FB2"/>
    <w:rsid w:val="65E903A4"/>
    <w:rsid w:val="664D7CE3"/>
    <w:rsid w:val="6663767F"/>
    <w:rsid w:val="669D4A1A"/>
    <w:rsid w:val="66C422D5"/>
    <w:rsid w:val="66F2561D"/>
    <w:rsid w:val="67093F97"/>
    <w:rsid w:val="670F6278"/>
    <w:rsid w:val="67262DF4"/>
    <w:rsid w:val="674F394C"/>
    <w:rsid w:val="678A3CC0"/>
    <w:rsid w:val="67D453E4"/>
    <w:rsid w:val="67EC5DB3"/>
    <w:rsid w:val="67F35B89"/>
    <w:rsid w:val="67F66A1E"/>
    <w:rsid w:val="682E717D"/>
    <w:rsid w:val="684371E2"/>
    <w:rsid w:val="68455B6E"/>
    <w:rsid w:val="68AF27F8"/>
    <w:rsid w:val="68B06C64"/>
    <w:rsid w:val="68BA69C2"/>
    <w:rsid w:val="68CD4150"/>
    <w:rsid w:val="690232DC"/>
    <w:rsid w:val="69254F64"/>
    <w:rsid w:val="69443F0C"/>
    <w:rsid w:val="698F475B"/>
    <w:rsid w:val="6990394A"/>
    <w:rsid w:val="6A440BCD"/>
    <w:rsid w:val="6A631346"/>
    <w:rsid w:val="6A646439"/>
    <w:rsid w:val="6A6C5332"/>
    <w:rsid w:val="6A6D3487"/>
    <w:rsid w:val="6AB059DE"/>
    <w:rsid w:val="6ACA4359"/>
    <w:rsid w:val="6AD14D1B"/>
    <w:rsid w:val="6ADB0042"/>
    <w:rsid w:val="6AE77C77"/>
    <w:rsid w:val="6AEB078D"/>
    <w:rsid w:val="6B2B4E76"/>
    <w:rsid w:val="6B4D74EF"/>
    <w:rsid w:val="6B6477A8"/>
    <w:rsid w:val="6B655326"/>
    <w:rsid w:val="6B705768"/>
    <w:rsid w:val="6B742835"/>
    <w:rsid w:val="6B7D650A"/>
    <w:rsid w:val="6B7E2144"/>
    <w:rsid w:val="6BC337F4"/>
    <w:rsid w:val="6BD73AF7"/>
    <w:rsid w:val="6BFF18E1"/>
    <w:rsid w:val="6C101962"/>
    <w:rsid w:val="6C6D3695"/>
    <w:rsid w:val="6C9B0CAB"/>
    <w:rsid w:val="6CDC59FB"/>
    <w:rsid w:val="6D2A5875"/>
    <w:rsid w:val="6D3649DA"/>
    <w:rsid w:val="6D953C76"/>
    <w:rsid w:val="6DA1520D"/>
    <w:rsid w:val="6DAD7CCF"/>
    <w:rsid w:val="6DF13764"/>
    <w:rsid w:val="6E033CFA"/>
    <w:rsid w:val="6E1940B6"/>
    <w:rsid w:val="6E323F66"/>
    <w:rsid w:val="6E486F1E"/>
    <w:rsid w:val="6E9311AA"/>
    <w:rsid w:val="6E997A08"/>
    <w:rsid w:val="6EB92BDD"/>
    <w:rsid w:val="6EEA38F3"/>
    <w:rsid w:val="6EF5357C"/>
    <w:rsid w:val="6EFA6D03"/>
    <w:rsid w:val="6F2F3DEC"/>
    <w:rsid w:val="6F420C38"/>
    <w:rsid w:val="6F4260E3"/>
    <w:rsid w:val="6F9A0C0F"/>
    <w:rsid w:val="6FB27F1E"/>
    <w:rsid w:val="6FBB56E4"/>
    <w:rsid w:val="6FEC25ED"/>
    <w:rsid w:val="70726FFD"/>
    <w:rsid w:val="707C3094"/>
    <w:rsid w:val="708375FC"/>
    <w:rsid w:val="7086747B"/>
    <w:rsid w:val="70AA4FE1"/>
    <w:rsid w:val="71071DC0"/>
    <w:rsid w:val="71291F80"/>
    <w:rsid w:val="71674520"/>
    <w:rsid w:val="717D23D8"/>
    <w:rsid w:val="71A02AA6"/>
    <w:rsid w:val="71A409D7"/>
    <w:rsid w:val="71BB620E"/>
    <w:rsid w:val="71F05B5D"/>
    <w:rsid w:val="721D3B60"/>
    <w:rsid w:val="726D60D2"/>
    <w:rsid w:val="729A2C45"/>
    <w:rsid w:val="72A368BC"/>
    <w:rsid w:val="72BA2FE5"/>
    <w:rsid w:val="72F15B47"/>
    <w:rsid w:val="733D0F46"/>
    <w:rsid w:val="73496AA7"/>
    <w:rsid w:val="735B627E"/>
    <w:rsid w:val="73687683"/>
    <w:rsid w:val="738D4893"/>
    <w:rsid w:val="738F57FE"/>
    <w:rsid w:val="73902CE7"/>
    <w:rsid w:val="73B47439"/>
    <w:rsid w:val="73C76AD0"/>
    <w:rsid w:val="73F25AAA"/>
    <w:rsid w:val="74341074"/>
    <w:rsid w:val="743412DE"/>
    <w:rsid w:val="743D0045"/>
    <w:rsid w:val="74423AEE"/>
    <w:rsid w:val="74660482"/>
    <w:rsid w:val="74764603"/>
    <w:rsid w:val="74817331"/>
    <w:rsid w:val="74E35BE5"/>
    <w:rsid w:val="74F8244A"/>
    <w:rsid w:val="754B4E6B"/>
    <w:rsid w:val="755C6832"/>
    <w:rsid w:val="75705805"/>
    <w:rsid w:val="7585387A"/>
    <w:rsid w:val="758F3FA6"/>
    <w:rsid w:val="75B41AD3"/>
    <w:rsid w:val="75F43823"/>
    <w:rsid w:val="7618212B"/>
    <w:rsid w:val="7661341E"/>
    <w:rsid w:val="767A4A53"/>
    <w:rsid w:val="76B21999"/>
    <w:rsid w:val="76C2162A"/>
    <w:rsid w:val="76E63387"/>
    <w:rsid w:val="76E81BB8"/>
    <w:rsid w:val="76E91493"/>
    <w:rsid w:val="77196056"/>
    <w:rsid w:val="773035EC"/>
    <w:rsid w:val="775D5847"/>
    <w:rsid w:val="77E8115C"/>
    <w:rsid w:val="78907D78"/>
    <w:rsid w:val="790761F1"/>
    <w:rsid w:val="7912186A"/>
    <w:rsid w:val="79831DA7"/>
    <w:rsid w:val="79993708"/>
    <w:rsid w:val="799A061A"/>
    <w:rsid w:val="79B33E1C"/>
    <w:rsid w:val="79C16F93"/>
    <w:rsid w:val="79C96EAC"/>
    <w:rsid w:val="79DD4C0A"/>
    <w:rsid w:val="7A757EA9"/>
    <w:rsid w:val="7A772A4F"/>
    <w:rsid w:val="7A7773D3"/>
    <w:rsid w:val="7AE35051"/>
    <w:rsid w:val="7B1647DD"/>
    <w:rsid w:val="7C1F1760"/>
    <w:rsid w:val="7C332419"/>
    <w:rsid w:val="7C3669A2"/>
    <w:rsid w:val="7C383592"/>
    <w:rsid w:val="7C4220AA"/>
    <w:rsid w:val="7C712B50"/>
    <w:rsid w:val="7CB40297"/>
    <w:rsid w:val="7CE253FD"/>
    <w:rsid w:val="7D176D26"/>
    <w:rsid w:val="7D814100"/>
    <w:rsid w:val="7D8462D8"/>
    <w:rsid w:val="7DC316F8"/>
    <w:rsid w:val="7DEC69BA"/>
    <w:rsid w:val="7DF20469"/>
    <w:rsid w:val="7E104435"/>
    <w:rsid w:val="7E215461"/>
    <w:rsid w:val="7E513E32"/>
    <w:rsid w:val="7E6521FD"/>
    <w:rsid w:val="7E837FB5"/>
    <w:rsid w:val="7E9F2A3B"/>
    <w:rsid w:val="7EA81BCE"/>
    <w:rsid w:val="7EC635C5"/>
    <w:rsid w:val="7ED11926"/>
    <w:rsid w:val="7ED60013"/>
    <w:rsid w:val="7F1235DC"/>
    <w:rsid w:val="7F6369C6"/>
    <w:rsid w:val="7FFB25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startarrow="block"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qFormat="1" w:unhideWhenUsed="0" w:uiPriority="0" w:semiHidden="0" w:name="Body Text 2"/>
    <w:lsdException w:qFormat="1"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49"/>
    <w:qFormat/>
    <w:uiPriority w:val="0"/>
    <w:pPr>
      <w:keepNext/>
      <w:keepLines/>
      <w:adjustRightInd w:val="0"/>
      <w:snapToGrid w:val="0"/>
      <w:spacing w:before="120" w:after="120" w:line="240" w:lineRule="atLeast"/>
      <w:ind w:firstLine="0" w:firstLineChars="0"/>
      <w:jc w:val="center"/>
      <w:outlineLvl w:val="0"/>
    </w:pPr>
    <w:rPr>
      <w:rFonts w:ascii="黑体" w:hAnsi="黑体" w:eastAsia="黑体" w:cs="Times New Roman"/>
      <w:bCs/>
      <w:kern w:val="44"/>
      <w:sz w:val="30"/>
      <w:szCs w:val="44"/>
    </w:rPr>
  </w:style>
  <w:style w:type="paragraph" w:styleId="5">
    <w:name w:val="heading 2"/>
    <w:basedOn w:val="1"/>
    <w:next w:val="1"/>
    <w:link w:val="122"/>
    <w:unhideWhenUsed/>
    <w:qFormat/>
    <w:uiPriority w:val="9"/>
    <w:pPr>
      <w:keepNext/>
      <w:keepLines/>
      <w:adjustRightInd w:val="0"/>
      <w:snapToGrid w:val="0"/>
      <w:spacing w:before="100" w:beforeLines="100"/>
      <w:jc w:val="left"/>
      <w:outlineLvl w:val="1"/>
    </w:pPr>
    <w:rPr>
      <w:rFonts w:eastAsia="宋体" w:cs="Times New Roman"/>
      <w:b/>
      <w:bCs/>
      <w:szCs w:val="32"/>
    </w:rPr>
  </w:style>
  <w:style w:type="paragraph" w:styleId="6">
    <w:name w:val="heading 3"/>
    <w:basedOn w:val="1"/>
    <w:next w:val="1"/>
    <w:link w:val="45"/>
    <w:unhideWhenUsed/>
    <w:qFormat/>
    <w:uiPriority w:val="0"/>
    <w:pPr>
      <w:keepNext/>
      <w:keepLines/>
      <w:spacing w:before="260" w:after="260" w:line="416" w:lineRule="auto"/>
      <w:outlineLvl w:val="2"/>
    </w:pPr>
    <w:rPr>
      <w:rFonts w:eastAsia="宋体" w:cs="Times New Roman"/>
      <w:b/>
      <w:bCs/>
      <w:sz w:val="32"/>
      <w:szCs w:val="32"/>
    </w:rPr>
  </w:style>
  <w:style w:type="paragraph" w:styleId="7">
    <w:name w:val="heading 4"/>
    <w:basedOn w:val="1"/>
    <w:next w:val="1"/>
    <w:link w:val="129"/>
    <w:unhideWhenUsed/>
    <w:qFormat/>
    <w:uiPriority w:val="9"/>
    <w:pPr>
      <w:keepNext/>
      <w:keepLines/>
      <w:outlineLvl w:val="3"/>
    </w:pPr>
    <w:rPr>
      <w:rFonts w:eastAsia="宋体" w:cs="Times New Roman"/>
      <w:b/>
      <w:bCs/>
      <w:szCs w:val="28"/>
    </w:rPr>
  </w:style>
  <w:style w:type="paragraph" w:styleId="8">
    <w:name w:val="heading 5"/>
    <w:basedOn w:val="1"/>
    <w:next w:val="1"/>
    <w:link w:val="159"/>
    <w:unhideWhenUsed/>
    <w:qFormat/>
    <w:uiPriority w:val="9"/>
    <w:pPr>
      <w:keepNext/>
      <w:keepLines/>
      <w:spacing w:before="280" w:after="290" w:line="376" w:lineRule="auto"/>
      <w:outlineLvl w:val="4"/>
    </w:pPr>
    <w:rPr>
      <w:b/>
      <w:bCs/>
      <w:sz w:val="28"/>
      <w:szCs w:val="28"/>
    </w:rPr>
  </w:style>
  <w:style w:type="paragraph" w:styleId="9">
    <w:name w:val="heading 6"/>
    <w:basedOn w:val="1"/>
    <w:next w:val="1"/>
    <w:link w:val="160"/>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10">
    <w:name w:val="heading 7"/>
    <w:basedOn w:val="1"/>
    <w:next w:val="1"/>
    <w:link w:val="161"/>
    <w:unhideWhenUsed/>
    <w:qFormat/>
    <w:uiPriority w:val="9"/>
    <w:pPr>
      <w:keepNext/>
      <w:keepLines/>
      <w:spacing w:before="240" w:after="64" w:line="320" w:lineRule="auto"/>
      <w:outlineLvl w:val="6"/>
    </w:pPr>
    <w:rPr>
      <w:b/>
      <w:bCs/>
      <w:szCs w:val="24"/>
    </w:rPr>
  </w:style>
  <w:style w:type="paragraph" w:styleId="11">
    <w:name w:val="heading 8"/>
    <w:basedOn w:val="1"/>
    <w:next w:val="1"/>
    <w:link w:val="162"/>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paragraph" w:styleId="12">
    <w:name w:val="heading 9"/>
    <w:basedOn w:val="1"/>
    <w:next w:val="1"/>
    <w:link w:val="145"/>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3">
    <w:name w:val="macro"/>
    <w:link w:val="10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Normal Indent"/>
    <w:basedOn w:val="1"/>
    <w:next w:val="1"/>
    <w:link w:val="80"/>
    <w:unhideWhenUsed/>
    <w:qFormat/>
    <w:uiPriority w:val="0"/>
    <w:pPr>
      <w:ind w:firstLine="420"/>
    </w:pPr>
    <w:rPr>
      <w:rFonts w:eastAsia="宋体"/>
    </w:rPr>
  </w:style>
  <w:style w:type="paragraph" w:styleId="14">
    <w:name w:val="Document Map"/>
    <w:basedOn w:val="1"/>
    <w:link w:val="55"/>
    <w:unhideWhenUsed/>
    <w:qFormat/>
    <w:uiPriority w:val="0"/>
    <w:rPr>
      <w:rFonts w:ascii="宋体" w:eastAsia="宋体" w:cs="Times New Roman"/>
      <w:sz w:val="18"/>
      <w:szCs w:val="18"/>
    </w:rPr>
  </w:style>
  <w:style w:type="paragraph" w:styleId="15">
    <w:name w:val="annotation text"/>
    <w:basedOn w:val="1"/>
    <w:link w:val="151"/>
    <w:qFormat/>
    <w:uiPriority w:val="0"/>
    <w:pPr>
      <w:spacing w:line="240" w:lineRule="auto"/>
      <w:ind w:firstLine="0" w:firstLineChars="0"/>
      <w:jc w:val="left"/>
    </w:pPr>
    <w:rPr>
      <w:rFonts w:eastAsia="宋体" w:cs="Times New Roman"/>
      <w:sz w:val="21"/>
      <w:szCs w:val="24"/>
    </w:rPr>
  </w:style>
  <w:style w:type="paragraph" w:styleId="16">
    <w:name w:val="Salutation"/>
    <w:basedOn w:val="1"/>
    <w:next w:val="1"/>
    <w:link w:val="79"/>
    <w:qFormat/>
    <w:uiPriority w:val="0"/>
    <w:pPr>
      <w:widowControl/>
      <w:jc w:val="left"/>
    </w:pPr>
    <w:rPr>
      <w:rFonts w:eastAsia="宋体" w:cs="Times New Roman"/>
      <w:kern w:val="0"/>
      <w:szCs w:val="20"/>
    </w:rPr>
  </w:style>
  <w:style w:type="paragraph" w:styleId="17">
    <w:name w:val="Body Text 3"/>
    <w:basedOn w:val="1"/>
    <w:link w:val="119"/>
    <w:semiHidden/>
    <w:unhideWhenUsed/>
    <w:qFormat/>
    <w:uiPriority w:val="99"/>
    <w:pPr>
      <w:spacing w:after="120"/>
    </w:pPr>
    <w:rPr>
      <w:rFonts w:eastAsia="宋体" w:cs="Times New Roman"/>
      <w:sz w:val="16"/>
      <w:szCs w:val="16"/>
    </w:rPr>
  </w:style>
  <w:style w:type="paragraph" w:styleId="18">
    <w:name w:val="Body Text"/>
    <w:basedOn w:val="1"/>
    <w:next w:val="1"/>
    <w:link w:val="127"/>
    <w:semiHidden/>
    <w:unhideWhenUsed/>
    <w:qFormat/>
    <w:uiPriority w:val="0"/>
    <w:pPr>
      <w:spacing w:after="120"/>
    </w:pPr>
    <w:rPr>
      <w:rFonts w:eastAsia="宋体"/>
    </w:rPr>
  </w:style>
  <w:style w:type="paragraph" w:styleId="19">
    <w:name w:val="Body Text Indent"/>
    <w:basedOn w:val="1"/>
    <w:link w:val="101"/>
    <w:qFormat/>
    <w:uiPriority w:val="0"/>
    <w:pPr>
      <w:spacing w:after="120"/>
      <w:ind w:left="420" w:leftChars="200"/>
    </w:pPr>
    <w:rPr>
      <w:rFonts w:eastAsia="宋体" w:cs="Times New Roman"/>
      <w:szCs w:val="20"/>
    </w:rPr>
  </w:style>
  <w:style w:type="paragraph" w:styleId="20">
    <w:name w:val="Plain Text"/>
    <w:basedOn w:val="1"/>
    <w:next w:val="1"/>
    <w:link w:val="128"/>
    <w:unhideWhenUsed/>
    <w:qFormat/>
    <w:uiPriority w:val="0"/>
    <w:rPr>
      <w:rFonts w:ascii="宋体" w:hAnsi="Courier New" w:eastAsia="宋体"/>
      <w:sz w:val="28"/>
      <w:szCs w:val="21"/>
    </w:rPr>
  </w:style>
  <w:style w:type="paragraph" w:styleId="21">
    <w:name w:val="Date"/>
    <w:basedOn w:val="1"/>
    <w:next w:val="1"/>
    <w:link w:val="97"/>
    <w:qFormat/>
    <w:uiPriority w:val="0"/>
    <w:pPr>
      <w:ind w:left="100" w:leftChars="2500"/>
    </w:pPr>
    <w:rPr>
      <w:rFonts w:eastAsia="宋体" w:cs="Times New Roman"/>
      <w:szCs w:val="24"/>
    </w:rPr>
  </w:style>
  <w:style w:type="paragraph" w:styleId="22">
    <w:name w:val="Body Text Indent 2"/>
    <w:basedOn w:val="1"/>
    <w:link w:val="72"/>
    <w:qFormat/>
    <w:uiPriority w:val="0"/>
    <w:pPr>
      <w:spacing w:line="460" w:lineRule="exact"/>
      <w:ind w:firstLine="568" w:firstLineChars="203"/>
    </w:pPr>
    <w:rPr>
      <w:rFonts w:eastAsia="宋体" w:cs="Times New Roman"/>
      <w:sz w:val="28"/>
      <w:szCs w:val="20"/>
    </w:rPr>
  </w:style>
  <w:style w:type="paragraph" w:styleId="23">
    <w:name w:val="Balloon Text"/>
    <w:basedOn w:val="1"/>
    <w:link w:val="116"/>
    <w:qFormat/>
    <w:uiPriority w:val="0"/>
    <w:rPr>
      <w:rFonts w:eastAsia="宋体" w:cs="Times New Roman"/>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next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rPr>
      <w:rFonts w:eastAsia="宋体" w:cs="Times New Roman"/>
      <w:szCs w:val="24"/>
    </w:rPr>
  </w:style>
  <w:style w:type="paragraph" w:styleId="27">
    <w:name w:val="Subtitle"/>
    <w:basedOn w:val="1"/>
    <w:next w:val="1"/>
    <w:link w:val="126"/>
    <w:qFormat/>
    <w:uiPriority w:val="0"/>
    <w:pPr>
      <w:spacing w:before="240" w:after="60" w:line="312" w:lineRule="auto"/>
      <w:jc w:val="center"/>
      <w:outlineLvl w:val="1"/>
    </w:pPr>
    <w:rPr>
      <w:rFonts w:eastAsia="宋体" w:cs="Times New Roman"/>
      <w:b/>
      <w:bCs/>
      <w:kern w:val="28"/>
      <w:szCs w:val="32"/>
    </w:rPr>
  </w:style>
  <w:style w:type="paragraph" w:styleId="28">
    <w:name w:val="Body Text Indent 3"/>
    <w:basedOn w:val="1"/>
    <w:link w:val="104"/>
    <w:qFormat/>
    <w:uiPriority w:val="0"/>
    <w:pPr>
      <w:spacing w:after="120"/>
      <w:ind w:left="420" w:leftChars="200"/>
    </w:pPr>
    <w:rPr>
      <w:rFonts w:eastAsia="宋体" w:cs="Times New Roman"/>
      <w:sz w:val="16"/>
      <w:szCs w:val="16"/>
    </w:rPr>
  </w:style>
  <w:style w:type="paragraph" w:styleId="29">
    <w:name w:val="toc 2"/>
    <w:basedOn w:val="1"/>
    <w:next w:val="1"/>
    <w:qFormat/>
    <w:uiPriority w:val="39"/>
    <w:pPr>
      <w:ind w:left="420" w:leftChars="200"/>
    </w:pPr>
    <w:rPr>
      <w:rFonts w:eastAsia="宋体" w:cs="Times New Roman"/>
      <w:szCs w:val="24"/>
    </w:rPr>
  </w:style>
  <w:style w:type="paragraph" w:styleId="30">
    <w:name w:val="Body Text 2"/>
    <w:basedOn w:val="1"/>
    <w:link w:val="71"/>
    <w:qFormat/>
    <w:uiPriority w:val="0"/>
    <w:pPr>
      <w:spacing w:after="120" w:line="480" w:lineRule="auto"/>
    </w:pPr>
    <w:rPr>
      <w:rFonts w:eastAsia="宋体" w:cs="Times New Roman"/>
      <w:szCs w:val="20"/>
    </w:rPr>
  </w:style>
  <w:style w:type="paragraph" w:styleId="31">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Cs w:val="24"/>
    </w:rPr>
  </w:style>
  <w:style w:type="paragraph" w:styleId="32">
    <w:name w:val="Normal (Web)"/>
    <w:basedOn w:val="1"/>
    <w:link w:val="175"/>
    <w:qFormat/>
    <w:uiPriority w:val="0"/>
    <w:pPr>
      <w:widowControl/>
      <w:spacing w:before="100" w:beforeAutospacing="1" w:after="100" w:afterAutospacing="1"/>
      <w:jc w:val="left"/>
    </w:pPr>
    <w:rPr>
      <w:rFonts w:ascii="Arial Unicode MS" w:hAnsi="Arial Unicode MS" w:eastAsia="Arial Unicode MS" w:cs="Arial Unicode MS"/>
      <w:kern w:val="0"/>
      <w:szCs w:val="24"/>
    </w:rPr>
  </w:style>
  <w:style w:type="paragraph" w:styleId="33">
    <w:name w:val="index 1"/>
    <w:basedOn w:val="1"/>
    <w:next w:val="1"/>
    <w:qFormat/>
    <w:uiPriority w:val="0"/>
    <w:pPr>
      <w:tabs>
        <w:tab w:val="left" w:pos="5580"/>
      </w:tabs>
      <w:spacing w:line="280" w:lineRule="exact"/>
    </w:pPr>
    <w:rPr>
      <w:rFonts w:ascii="宋体" w:hAnsi="宋体" w:eastAsia="宋体" w:cs="Times New Roman"/>
      <w:spacing w:val="10"/>
      <w:szCs w:val="24"/>
    </w:rPr>
  </w:style>
  <w:style w:type="paragraph" w:styleId="34">
    <w:name w:val="Title"/>
    <w:basedOn w:val="1"/>
    <w:next w:val="1"/>
    <w:link w:val="153"/>
    <w:qFormat/>
    <w:uiPriority w:val="10"/>
    <w:pPr>
      <w:spacing w:before="280" w:after="60" w:line="260" w:lineRule="exact"/>
      <w:outlineLvl w:val="2"/>
    </w:pPr>
    <w:rPr>
      <w:rFonts w:eastAsia="宋体" w:cstheme="majorBidi"/>
      <w:b/>
      <w:bCs/>
      <w:snapToGrid w:val="0"/>
      <w:kern w:val="0"/>
      <w:szCs w:val="32"/>
    </w:rPr>
  </w:style>
  <w:style w:type="paragraph" w:styleId="35">
    <w:name w:val="Body Text First Indent"/>
    <w:basedOn w:val="18"/>
    <w:next w:val="1"/>
    <w:link w:val="132"/>
    <w:unhideWhenUsed/>
    <w:qFormat/>
    <w:uiPriority w:val="99"/>
    <w:pPr>
      <w:ind w:firstLine="420" w:firstLineChars="100"/>
    </w:pPr>
    <w:rPr>
      <w:rFonts w:eastAsiaTheme="minorEastAsia"/>
    </w:rPr>
  </w:style>
  <w:style w:type="paragraph" w:styleId="36">
    <w:name w:val="Body Text First Indent 2"/>
    <w:basedOn w:val="19"/>
    <w:next w:val="35"/>
    <w:link w:val="180"/>
    <w:semiHidden/>
    <w:unhideWhenUsed/>
    <w:qFormat/>
    <w:uiPriority w:val="99"/>
    <w:pPr>
      <w:ind w:firstLine="420"/>
    </w:pPr>
    <w:rPr>
      <w:rFonts w:eastAsiaTheme="minorEastAsia" w:cstheme="minorBidi"/>
      <w:szCs w:val="22"/>
    </w:rPr>
  </w:style>
  <w:style w:type="table" w:styleId="38">
    <w:name w:val="Table Grid"/>
    <w:basedOn w:val="3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0"/>
    <w:rPr>
      <w:b/>
      <w:bCs/>
    </w:rPr>
  </w:style>
  <w:style w:type="character" w:styleId="41">
    <w:name w:val="page number"/>
    <w:basedOn w:val="39"/>
    <w:qFormat/>
    <w:uiPriority w:val="0"/>
  </w:style>
  <w:style w:type="character" w:styleId="42">
    <w:name w:val="Emphasis"/>
    <w:basedOn w:val="39"/>
    <w:qFormat/>
    <w:uiPriority w:val="0"/>
    <w:rPr>
      <w:color w:val="CC0000"/>
    </w:rPr>
  </w:style>
  <w:style w:type="character" w:styleId="43">
    <w:name w:val="Hyperlink"/>
    <w:basedOn w:val="39"/>
    <w:qFormat/>
    <w:uiPriority w:val="99"/>
    <w:rPr>
      <w:color w:val="0000FF"/>
      <w:u w:val="single"/>
    </w:rPr>
  </w:style>
  <w:style w:type="character" w:styleId="44">
    <w:name w:val="annotation reference"/>
    <w:basedOn w:val="39"/>
    <w:qFormat/>
    <w:uiPriority w:val="0"/>
    <w:rPr>
      <w:sz w:val="21"/>
      <w:szCs w:val="21"/>
    </w:rPr>
  </w:style>
  <w:style w:type="character" w:customStyle="1" w:styleId="45">
    <w:name w:val="标题 3 Char"/>
    <w:basedOn w:val="39"/>
    <w:link w:val="6"/>
    <w:qFormat/>
    <w:uiPriority w:val="0"/>
    <w:rPr>
      <w:rFonts w:ascii="Times New Roman" w:hAnsi="Times New Roman" w:eastAsia="宋体" w:cs="Times New Roman"/>
      <w:b/>
      <w:bCs/>
      <w:sz w:val="32"/>
      <w:szCs w:val="32"/>
    </w:rPr>
  </w:style>
  <w:style w:type="paragraph" w:customStyle="1" w:styleId="46">
    <w:name w:val="明显引用1"/>
    <w:basedOn w:val="1"/>
    <w:next w:val="1"/>
    <w:qFormat/>
    <w:uiPriority w:val="30"/>
    <w:pPr>
      <w:pBdr>
        <w:bottom w:val="single" w:color="4F81BD" w:sz="4" w:space="4"/>
      </w:pBdr>
      <w:spacing w:before="200" w:after="280"/>
      <w:ind w:left="936" w:right="936"/>
    </w:pPr>
    <w:rPr>
      <w:rFonts w:eastAsia="宋体" w:cs="Times New Roman"/>
      <w:b/>
      <w:bCs/>
      <w:i/>
      <w:iCs/>
      <w:color w:val="4F81BD"/>
      <w:szCs w:val="20"/>
    </w:rPr>
  </w:style>
  <w:style w:type="character" w:customStyle="1" w:styleId="47">
    <w:name w:val="页眉 Char"/>
    <w:basedOn w:val="39"/>
    <w:link w:val="25"/>
    <w:qFormat/>
    <w:uiPriority w:val="99"/>
    <w:rPr>
      <w:sz w:val="18"/>
      <w:szCs w:val="18"/>
    </w:rPr>
  </w:style>
  <w:style w:type="character" w:customStyle="1" w:styleId="48">
    <w:name w:val="页脚 Char"/>
    <w:basedOn w:val="39"/>
    <w:link w:val="24"/>
    <w:qFormat/>
    <w:uiPriority w:val="99"/>
    <w:rPr>
      <w:sz w:val="18"/>
      <w:szCs w:val="18"/>
    </w:rPr>
  </w:style>
  <w:style w:type="character" w:customStyle="1" w:styleId="49">
    <w:name w:val="标题 1 Char"/>
    <w:basedOn w:val="39"/>
    <w:link w:val="4"/>
    <w:qFormat/>
    <w:uiPriority w:val="0"/>
    <w:rPr>
      <w:rFonts w:ascii="黑体" w:hAnsi="黑体" w:eastAsia="黑体" w:cs="Times New Roman"/>
      <w:bCs/>
      <w:kern w:val="44"/>
      <w:sz w:val="30"/>
      <w:szCs w:val="44"/>
    </w:rPr>
  </w:style>
  <w:style w:type="paragraph" w:customStyle="1" w:styleId="50">
    <w:name w:val="二级标题1"/>
    <w:basedOn w:val="1"/>
    <w:next w:val="1"/>
    <w:unhideWhenUsed/>
    <w:qFormat/>
    <w:uiPriority w:val="0"/>
    <w:pPr>
      <w:keepNext/>
      <w:keepLines/>
      <w:adjustRightInd w:val="0"/>
      <w:snapToGrid w:val="0"/>
      <w:spacing w:before="240"/>
      <w:outlineLvl w:val="1"/>
    </w:pPr>
    <w:rPr>
      <w:rFonts w:eastAsia="宋体" w:cs="Times New Roman"/>
      <w:b/>
      <w:bCs/>
      <w:szCs w:val="32"/>
    </w:rPr>
  </w:style>
  <w:style w:type="paragraph" w:customStyle="1" w:styleId="51">
    <w:name w:val="标题123"/>
    <w:basedOn w:val="1"/>
    <w:next w:val="1"/>
    <w:unhideWhenUsed/>
    <w:qFormat/>
    <w:uiPriority w:val="9"/>
    <w:pPr>
      <w:keepNext/>
      <w:keepLines/>
      <w:adjustRightInd w:val="0"/>
      <w:snapToGrid w:val="0"/>
      <w:spacing w:before="240" w:after="120" w:line="240" w:lineRule="auto"/>
      <w:ind w:firstLine="482"/>
      <w:jc w:val="left"/>
      <w:outlineLvl w:val="2"/>
    </w:pPr>
    <w:rPr>
      <w:rFonts w:eastAsia="宋体" w:cs="Times New Roman" w:asciiTheme="majorHAnsi" w:hAnsiTheme="majorHAnsi"/>
      <w:b/>
      <w:bCs/>
      <w:snapToGrid w:val="0"/>
      <w:kern w:val="0"/>
      <w:szCs w:val="28"/>
    </w:rPr>
  </w:style>
  <w:style w:type="character" w:customStyle="1" w:styleId="52">
    <w:name w:val="标题 2 Char"/>
    <w:basedOn w:val="39"/>
    <w:qFormat/>
    <w:uiPriority w:val="9"/>
    <w:rPr>
      <w:rFonts w:ascii="Times New Roman" w:hAnsi="Times New Roman" w:eastAsia="宋体" w:cs="Times New Roman"/>
      <w:b/>
      <w:bCs/>
      <w:sz w:val="28"/>
      <w:szCs w:val="32"/>
    </w:rPr>
  </w:style>
  <w:style w:type="paragraph" w:customStyle="1" w:styleId="53">
    <w:name w:val="TOC 标题1"/>
    <w:basedOn w:val="4"/>
    <w:next w:val="1"/>
    <w:unhideWhenUsed/>
    <w:qFormat/>
    <w:uiPriority w:val="39"/>
    <w:pPr>
      <w:outlineLvl w:val="9"/>
    </w:pPr>
  </w:style>
  <w:style w:type="paragraph" w:customStyle="1" w:styleId="54">
    <w:name w:val="表格单倍"/>
    <w:basedOn w:val="1"/>
    <w:next w:val="1"/>
    <w:qFormat/>
    <w:uiPriority w:val="0"/>
    <w:pPr>
      <w:autoSpaceDE w:val="0"/>
      <w:autoSpaceDN w:val="0"/>
      <w:adjustRightInd w:val="0"/>
      <w:snapToGrid w:val="0"/>
      <w:spacing w:line="240" w:lineRule="auto"/>
      <w:ind w:firstLine="0" w:firstLineChars="0"/>
      <w:jc w:val="center"/>
      <w:textAlignment w:val="baseline"/>
    </w:pPr>
    <w:rPr>
      <w:rFonts w:eastAsia="宋体" w:cs="Times New Roman"/>
      <w:kern w:val="24"/>
      <w:sz w:val="21"/>
      <w:szCs w:val="20"/>
    </w:rPr>
  </w:style>
  <w:style w:type="character" w:customStyle="1" w:styleId="55">
    <w:name w:val="文档结构图 Char"/>
    <w:basedOn w:val="39"/>
    <w:link w:val="14"/>
    <w:qFormat/>
    <w:uiPriority w:val="0"/>
    <w:rPr>
      <w:rFonts w:ascii="宋体" w:hAnsi="Times New Roman" w:eastAsia="宋体" w:cs="Times New Roman"/>
      <w:sz w:val="18"/>
      <w:szCs w:val="18"/>
    </w:rPr>
  </w:style>
  <w:style w:type="character" w:customStyle="1" w:styleId="56">
    <w:name w:val="明显引用 Char"/>
    <w:basedOn w:val="39"/>
    <w:qFormat/>
    <w:uiPriority w:val="30"/>
    <w:rPr>
      <w:rFonts w:ascii="Times New Roman" w:hAnsi="Times New Roman" w:eastAsia="宋体" w:cs="Times New Roman"/>
      <w:b/>
      <w:bCs/>
      <w:i/>
      <w:iCs/>
      <w:color w:val="4F81BD"/>
      <w:sz w:val="24"/>
      <w:szCs w:val="20"/>
    </w:rPr>
  </w:style>
  <w:style w:type="paragraph" w:styleId="57">
    <w:name w:val="Intense Quote"/>
    <w:basedOn w:val="1"/>
    <w:next w:val="1"/>
    <w:link w:val="123"/>
    <w:qFormat/>
    <w:uiPriority w:val="30"/>
    <w:pPr>
      <w:pBdr>
        <w:bottom w:val="single" w:color="4F81BD" w:themeColor="accent1" w:sz="4" w:space="4"/>
      </w:pBdr>
      <w:spacing w:before="200" w:after="280"/>
      <w:ind w:left="936" w:right="936"/>
    </w:pPr>
    <w:rPr>
      <w:rFonts w:eastAsia="宋体" w:cs="Times New Roman"/>
      <w:b/>
      <w:bCs/>
      <w:i/>
      <w:iCs/>
      <w:color w:val="4F81BD"/>
      <w:szCs w:val="20"/>
    </w:rPr>
  </w:style>
  <w:style w:type="paragraph" w:styleId="58">
    <w:name w:val="List Paragraph"/>
    <w:basedOn w:val="1"/>
    <w:qFormat/>
    <w:uiPriority w:val="34"/>
    <w:pPr>
      <w:ind w:firstLine="420"/>
    </w:pPr>
    <w:rPr>
      <w:rFonts w:eastAsia="宋体" w:cs="Times New Roman"/>
      <w:szCs w:val="20"/>
    </w:rPr>
  </w:style>
  <w:style w:type="character" w:customStyle="1" w:styleId="59">
    <w:name w:val="书籍标题1"/>
    <w:basedOn w:val="39"/>
    <w:qFormat/>
    <w:uiPriority w:val="33"/>
    <w:rPr>
      <w:b/>
      <w:bCs/>
      <w:smallCaps/>
      <w:spacing w:val="5"/>
    </w:rPr>
  </w:style>
  <w:style w:type="character" w:customStyle="1" w:styleId="60">
    <w:name w:val="明显参考1"/>
    <w:basedOn w:val="39"/>
    <w:qFormat/>
    <w:uiPriority w:val="32"/>
    <w:rPr>
      <w:b/>
      <w:bCs/>
      <w:smallCaps/>
      <w:color w:val="C0504D"/>
      <w:spacing w:val="5"/>
      <w:u w:val="single"/>
    </w:rPr>
  </w:style>
  <w:style w:type="character" w:customStyle="1" w:styleId="61">
    <w:name w:val="不明显参考1"/>
    <w:basedOn w:val="39"/>
    <w:qFormat/>
    <w:uiPriority w:val="31"/>
    <w:rPr>
      <w:smallCaps/>
      <w:color w:val="C0504D"/>
      <w:u w:val="single"/>
    </w:rPr>
  </w:style>
  <w:style w:type="character" w:customStyle="1" w:styleId="62">
    <w:name w:val="不明显强调1"/>
    <w:basedOn w:val="63"/>
    <w:qFormat/>
    <w:uiPriority w:val="19"/>
    <w:rPr>
      <w:rFonts w:ascii="Times New Roman" w:hAnsi="Times New Roman" w:eastAsia="宋体" w:cs="Times New Roman"/>
      <w:b/>
      <w:iCs/>
      <w:color w:val="auto"/>
      <w:sz w:val="18"/>
      <w:szCs w:val="20"/>
      <w:vertAlign w:val="baseline"/>
    </w:rPr>
  </w:style>
  <w:style w:type="character" w:customStyle="1" w:styleId="63">
    <w:name w:val="正文（首行缩进两字）m Char"/>
    <w:link w:val="64"/>
    <w:qFormat/>
    <w:uiPriority w:val="0"/>
    <w:rPr>
      <w:rFonts w:ascii="Times New Roman" w:hAnsi="Times New Roman" w:eastAsia="宋体" w:cs="Times New Roman"/>
      <w:color w:val="339966"/>
      <w:sz w:val="24"/>
      <w:szCs w:val="20"/>
    </w:rPr>
  </w:style>
  <w:style w:type="paragraph" w:customStyle="1" w:styleId="64">
    <w:name w:val="正文（首行缩进两字）m"/>
    <w:basedOn w:val="13"/>
    <w:link w:val="63"/>
    <w:qFormat/>
    <w:uiPriority w:val="0"/>
    <w:pPr>
      <w:tabs>
        <w:tab w:val="left" w:pos="1848"/>
        <w:tab w:val="left" w:pos="6061"/>
        <w:tab w:val="left" w:pos="8665"/>
      </w:tabs>
      <w:adjustRightInd w:val="0"/>
      <w:snapToGrid w:val="0"/>
      <w:spacing w:beforeLines="50" w:line="460" w:lineRule="exact"/>
      <w:ind w:firstLine="480"/>
    </w:pPr>
    <w:rPr>
      <w:rFonts w:cs="Times New Roman"/>
      <w:color w:val="339966"/>
      <w:szCs w:val="20"/>
    </w:rPr>
  </w:style>
  <w:style w:type="table" w:customStyle="1" w:styleId="65">
    <w:name w:val="报告表表格"/>
    <w:basedOn w:val="37"/>
    <w:qFormat/>
    <w:uiPriority w:val="99"/>
    <w:rPr>
      <w:szCs w:val="21"/>
    </w:rPr>
    <w:tblPr>
      <w:tblCellMar>
        <w:top w:w="0" w:type="dxa"/>
        <w:left w:w="108" w:type="dxa"/>
        <w:bottom w:w="0" w:type="dxa"/>
        <w:right w:w="108" w:type="dxa"/>
      </w:tblCellMar>
    </w:tblPr>
  </w:style>
  <w:style w:type="table" w:customStyle="1" w:styleId="66">
    <w:name w:val="我的表格"/>
    <w:basedOn w:val="37"/>
    <w:qFormat/>
    <w:uiPriority w:val="99"/>
    <w:rPr>
      <w:rFonts w:ascii="Times New Roman" w:hAnsi="Times New Roman" w:eastAsia="宋体"/>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67">
    <w:name w:val="表题1"/>
    <w:basedOn w:val="1"/>
    <w:next w:val="1"/>
    <w:qFormat/>
    <w:uiPriority w:val="0"/>
    <w:pPr>
      <w:keepNext/>
      <w:pageBreakBefore/>
      <w:snapToGrid w:val="0"/>
      <w:spacing w:before="120" w:after="60" w:line="240" w:lineRule="exact"/>
      <w:ind w:firstLine="0" w:firstLineChars="0"/>
      <w:jc w:val="center"/>
      <w:outlineLvl w:val="4"/>
    </w:pPr>
    <w:rPr>
      <w:rFonts w:eastAsia="宋体" w:cs="Times New Roman"/>
      <w:b/>
      <w:bCs/>
      <w:kern w:val="28"/>
      <w:szCs w:val="32"/>
    </w:rPr>
  </w:style>
  <w:style w:type="character" w:customStyle="1" w:styleId="68">
    <w:name w:val="副标题 Char"/>
    <w:basedOn w:val="39"/>
    <w:qFormat/>
    <w:uiPriority w:val="0"/>
    <w:rPr>
      <w:rFonts w:ascii="Times New Roman" w:hAnsi="Times New Roman" w:eastAsia="宋体" w:cs="Times New Roman"/>
      <w:b/>
      <w:bCs/>
      <w:kern w:val="28"/>
      <w:szCs w:val="32"/>
    </w:rPr>
  </w:style>
  <w:style w:type="character" w:customStyle="1" w:styleId="69">
    <w:name w:val="正文文本 Char"/>
    <w:basedOn w:val="39"/>
    <w:qFormat/>
    <w:uiPriority w:val="0"/>
    <w:rPr>
      <w:rFonts w:eastAsia="宋体"/>
    </w:rPr>
  </w:style>
  <w:style w:type="paragraph" w:customStyle="1" w:styleId="70">
    <w:name w:val="正文文本1"/>
    <w:basedOn w:val="1"/>
    <w:next w:val="18"/>
    <w:qFormat/>
    <w:uiPriority w:val="0"/>
    <w:pPr>
      <w:spacing w:after="120"/>
    </w:pPr>
    <w:rPr>
      <w:rFonts w:eastAsia="宋体"/>
    </w:rPr>
  </w:style>
  <w:style w:type="character" w:customStyle="1" w:styleId="71">
    <w:name w:val="正文文本 2 Char"/>
    <w:basedOn w:val="39"/>
    <w:link w:val="30"/>
    <w:qFormat/>
    <w:uiPriority w:val="0"/>
    <w:rPr>
      <w:rFonts w:ascii="Times New Roman" w:hAnsi="Times New Roman" w:eastAsia="宋体" w:cs="Times New Roman"/>
      <w:szCs w:val="20"/>
    </w:rPr>
  </w:style>
  <w:style w:type="character" w:customStyle="1" w:styleId="72">
    <w:name w:val="正文文本缩进 2 Char"/>
    <w:basedOn w:val="39"/>
    <w:link w:val="22"/>
    <w:qFormat/>
    <w:uiPriority w:val="0"/>
    <w:rPr>
      <w:rFonts w:ascii="Times New Roman" w:hAnsi="Times New Roman" w:eastAsia="宋体" w:cs="Times New Roman"/>
      <w:sz w:val="28"/>
      <w:szCs w:val="20"/>
    </w:rPr>
  </w:style>
  <w:style w:type="character" w:customStyle="1" w:styleId="73">
    <w:name w:val="正文文本 Char1"/>
    <w:basedOn w:val="39"/>
    <w:semiHidden/>
    <w:qFormat/>
    <w:uiPriority w:val="99"/>
    <w:rPr>
      <w:rFonts w:ascii="Times New Roman" w:hAnsi="Times New Roman" w:eastAsia="宋体" w:cs="Times New Roman"/>
      <w:sz w:val="24"/>
      <w:szCs w:val="20"/>
    </w:rPr>
  </w:style>
  <w:style w:type="paragraph" w:customStyle="1" w:styleId="74">
    <w:name w:val="正文▲"/>
    <w:link w:val="75"/>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character" w:customStyle="1" w:styleId="75">
    <w:name w:val="正文▲ Char"/>
    <w:link w:val="74"/>
    <w:qFormat/>
    <w:uiPriority w:val="0"/>
    <w:rPr>
      <w:rFonts w:ascii="Times New Roman" w:hAnsi="Times New Roman" w:eastAsia="宋体" w:cs="Times New Roman"/>
      <w:color w:val="000000"/>
      <w:sz w:val="24"/>
      <w:szCs w:val="24"/>
    </w:rPr>
  </w:style>
  <w:style w:type="paragraph" w:customStyle="1" w:styleId="76">
    <w:name w:val="环评正文1"/>
    <w:basedOn w:val="1"/>
    <w:qFormat/>
    <w:uiPriority w:val="0"/>
    <w:rPr>
      <w:rFonts w:eastAsia="宋体" w:cs="Times New Roman"/>
    </w:rPr>
  </w:style>
  <w:style w:type="paragraph" w:customStyle="1" w:styleId="77">
    <w:name w:val="表格1.5行距"/>
    <w:basedOn w:val="78"/>
    <w:next w:val="17"/>
    <w:qFormat/>
    <w:uiPriority w:val="0"/>
    <w:pPr>
      <w:adjustRightInd w:val="0"/>
      <w:snapToGrid w:val="0"/>
      <w:spacing w:line="360" w:lineRule="auto"/>
    </w:pPr>
  </w:style>
  <w:style w:type="paragraph" w:customStyle="1" w:styleId="78">
    <w:name w:val="表格"/>
    <w:basedOn w:val="1"/>
    <w:next w:val="1"/>
    <w:link w:val="112"/>
    <w:qFormat/>
    <w:uiPriority w:val="0"/>
    <w:pPr>
      <w:spacing w:line="400" w:lineRule="exact"/>
      <w:jc w:val="center"/>
    </w:pPr>
    <w:rPr>
      <w:bCs/>
    </w:rPr>
  </w:style>
  <w:style w:type="character" w:customStyle="1" w:styleId="79">
    <w:name w:val="称呼 Char"/>
    <w:basedOn w:val="39"/>
    <w:link w:val="16"/>
    <w:qFormat/>
    <w:uiPriority w:val="0"/>
    <w:rPr>
      <w:rFonts w:ascii="Times New Roman" w:hAnsi="Times New Roman" w:eastAsia="宋体" w:cs="Times New Roman"/>
      <w:kern w:val="0"/>
      <w:sz w:val="24"/>
      <w:szCs w:val="20"/>
    </w:rPr>
  </w:style>
  <w:style w:type="character" w:customStyle="1" w:styleId="80">
    <w:name w:val="正文缩进 Char"/>
    <w:basedOn w:val="39"/>
    <w:link w:val="13"/>
    <w:qFormat/>
    <w:uiPriority w:val="0"/>
    <w:rPr>
      <w:rFonts w:eastAsia="宋体"/>
      <w:sz w:val="24"/>
    </w:rPr>
  </w:style>
  <w:style w:type="paragraph" w:customStyle="1" w:styleId="81">
    <w:name w:val="正文（首行缩进两字）11"/>
    <w:basedOn w:val="1"/>
    <w:next w:val="13"/>
    <w:qFormat/>
    <w:uiPriority w:val="0"/>
    <w:pPr>
      <w:ind w:firstLine="420"/>
    </w:pPr>
    <w:rPr>
      <w:rFonts w:eastAsia="宋体"/>
    </w:rPr>
  </w:style>
  <w:style w:type="paragraph" w:styleId="82">
    <w:name w:val="No Spacing"/>
    <w:link w:val="83"/>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83">
    <w:name w:val="无间隔 Char"/>
    <w:link w:val="82"/>
    <w:qFormat/>
    <w:uiPriority w:val="0"/>
    <w:rPr>
      <w:rFonts w:ascii="Times New Roman" w:hAnsi="Times New Roman" w:eastAsia="宋体" w:cs="Times New Roman"/>
      <w:szCs w:val="21"/>
    </w:rPr>
  </w:style>
  <w:style w:type="character" w:customStyle="1" w:styleId="84">
    <w:name w:val="纯文本 Char"/>
    <w:basedOn w:val="39"/>
    <w:qFormat/>
    <w:uiPriority w:val="0"/>
    <w:rPr>
      <w:rFonts w:ascii="宋体" w:hAnsi="Courier New" w:eastAsia="宋体"/>
      <w:sz w:val="28"/>
      <w:szCs w:val="21"/>
    </w:rPr>
  </w:style>
  <w:style w:type="paragraph" w:customStyle="1" w:styleId="85">
    <w:name w:val="表内文字1"/>
    <w:basedOn w:val="1"/>
    <w:next w:val="20"/>
    <w:qFormat/>
    <w:uiPriority w:val="0"/>
    <w:pPr>
      <w:spacing w:line="240" w:lineRule="atLeast"/>
    </w:pPr>
    <w:rPr>
      <w:rFonts w:ascii="宋体" w:hAnsi="Courier New" w:eastAsia="宋体"/>
      <w:sz w:val="28"/>
      <w:szCs w:val="21"/>
    </w:rPr>
  </w:style>
  <w:style w:type="character" w:customStyle="1" w:styleId="86">
    <w:name w:val="纯文本 Char1"/>
    <w:basedOn w:val="39"/>
    <w:semiHidden/>
    <w:qFormat/>
    <w:uiPriority w:val="99"/>
    <w:rPr>
      <w:rFonts w:ascii="宋体" w:hAnsi="Courier New" w:eastAsia="宋体" w:cs="Courier New"/>
      <w:szCs w:val="21"/>
    </w:rPr>
  </w:style>
  <w:style w:type="character" w:customStyle="1" w:styleId="87">
    <w:name w:val="fs"/>
    <w:basedOn w:val="39"/>
    <w:qFormat/>
    <w:uiPriority w:val="0"/>
  </w:style>
  <w:style w:type="character" w:customStyle="1" w:styleId="88">
    <w:name w:val="textcontents"/>
    <w:basedOn w:val="39"/>
    <w:qFormat/>
    <w:uiPriority w:val="0"/>
  </w:style>
  <w:style w:type="character" w:customStyle="1" w:styleId="89">
    <w:name w:val="msoins"/>
    <w:basedOn w:val="39"/>
    <w:qFormat/>
    <w:uiPriority w:val="0"/>
  </w:style>
  <w:style w:type="paragraph" w:customStyle="1" w:styleId="90">
    <w:name w:val="默认段落字体 Para Char Char Char Char"/>
    <w:basedOn w:val="1"/>
    <w:qFormat/>
    <w:uiPriority w:val="0"/>
    <w:rPr>
      <w:rFonts w:eastAsia="宋体" w:cs="Times New Roman"/>
      <w:szCs w:val="24"/>
    </w:rPr>
  </w:style>
  <w:style w:type="paragraph" w:customStyle="1" w:styleId="91">
    <w:name w:val="正文(首行缩进)"/>
    <w:basedOn w:val="1"/>
    <w:qFormat/>
    <w:uiPriority w:val="0"/>
    <w:pPr>
      <w:tabs>
        <w:tab w:val="left" w:pos="6678"/>
      </w:tabs>
      <w:ind w:firstLine="630" w:firstLineChars="225"/>
    </w:pPr>
    <w:rPr>
      <w:rFonts w:ascii="宋体" w:hAnsi="宋体" w:eastAsia="宋体" w:cs="Times New Roman"/>
      <w:snapToGrid w:val="0"/>
      <w:color w:val="FF0000"/>
      <w:sz w:val="28"/>
      <w:szCs w:val="28"/>
    </w:rPr>
  </w:style>
  <w:style w:type="paragraph" w:customStyle="1" w:styleId="92">
    <w:name w:val="正文2"/>
    <w:basedOn w:val="1"/>
    <w:qFormat/>
    <w:uiPriority w:val="0"/>
    <w:pPr>
      <w:snapToGrid w:val="0"/>
      <w:spacing w:line="500" w:lineRule="atLeast"/>
      <w:ind w:firstLine="567"/>
    </w:pPr>
    <w:rPr>
      <w:rFonts w:eastAsia="宋体" w:cs="Times New Roman"/>
      <w:szCs w:val="20"/>
    </w:rPr>
  </w:style>
  <w:style w:type="paragraph" w:customStyle="1" w:styleId="93">
    <w:name w:val="表格小五"/>
    <w:basedOn w:val="1"/>
    <w:qFormat/>
    <w:uiPriority w:val="0"/>
    <w:pPr>
      <w:adjustRightInd w:val="0"/>
      <w:snapToGrid w:val="0"/>
      <w:spacing w:afterLines="30" w:line="240" w:lineRule="atLeast"/>
      <w:ind w:firstLine="510"/>
      <w:jc w:val="left"/>
    </w:pPr>
    <w:rPr>
      <w:rFonts w:eastAsia="宋体" w:cs="Times New Roman"/>
      <w:spacing w:val="16"/>
      <w:kern w:val="0"/>
      <w:sz w:val="18"/>
      <w:szCs w:val="20"/>
    </w:rPr>
  </w:style>
  <w:style w:type="paragraph" w:customStyle="1" w:styleId="94">
    <w:name w:val="目录"/>
    <w:basedOn w:val="26"/>
    <w:next w:val="29"/>
    <w:qFormat/>
    <w:uiPriority w:val="0"/>
    <w:pPr>
      <w:spacing w:line="240" w:lineRule="auto"/>
      <w:ind w:firstLine="0" w:firstLineChars="0"/>
    </w:pPr>
    <w:rPr>
      <w:sz w:val="21"/>
    </w:rPr>
  </w:style>
  <w:style w:type="paragraph" w:customStyle="1" w:styleId="95">
    <w:name w:val="宋体"/>
    <w:basedOn w:val="1"/>
    <w:qFormat/>
    <w:uiPriority w:val="0"/>
    <w:rPr>
      <w:rFonts w:ascii="宋体" w:hAnsi="宋体" w:eastAsia="宋体" w:cs="宋体"/>
      <w:szCs w:val="24"/>
    </w:rPr>
  </w:style>
  <w:style w:type="character" w:customStyle="1" w:styleId="96">
    <w:name w:val="HTML 预设格式 Char"/>
    <w:basedOn w:val="39"/>
    <w:link w:val="31"/>
    <w:qFormat/>
    <w:uiPriority w:val="0"/>
    <w:rPr>
      <w:rFonts w:ascii="Arial" w:hAnsi="Arial" w:eastAsia="宋体" w:cs="Arial"/>
      <w:kern w:val="0"/>
      <w:sz w:val="24"/>
      <w:szCs w:val="24"/>
    </w:rPr>
  </w:style>
  <w:style w:type="character" w:customStyle="1" w:styleId="97">
    <w:name w:val="日期 Char"/>
    <w:basedOn w:val="39"/>
    <w:link w:val="21"/>
    <w:qFormat/>
    <w:uiPriority w:val="0"/>
    <w:rPr>
      <w:rFonts w:ascii="Times New Roman" w:hAnsi="Times New Roman" w:eastAsia="宋体" w:cs="Times New Roman"/>
      <w:sz w:val="24"/>
      <w:szCs w:val="24"/>
    </w:rPr>
  </w:style>
  <w:style w:type="paragraph" w:customStyle="1" w:styleId="98">
    <w:name w:val="Char Char Char Char"/>
    <w:basedOn w:val="1"/>
    <w:qFormat/>
    <w:uiPriority w:val="0"/>
    <w:rPr>
      <w:rFonts w:eastAsia="宋体" w:cs="Times New Roman"/>
      <w:szCs w:val="24"/>
    </w:rPr>
  </w:style>
  <w:style w:type="paragraph" w:customStyle="1" w:styleId="99">
    <w:name w:val="Char Char Char"/>
    <w:basedOn w:val="1"/>
    <w:qFormat/>
    <w:uiPriority w:val="0"/>
    <w:rPr>
      <w:rFonts w:eastAsia="宋体" w:cs="Times New Roman"/>
      <w:szCs w:val="24"/>
    </w:rPr>
  </w:style>
  <w:style w:type="paragraph" w:customStyle="1" w:styleId="100">
    <w:name w:val="表格内容"/>
    <w:basedOn w:val="1"/>
    <w:qFormat/>
    <w:uiPriority w:val="0"/>
    <w:pPr>
      <w:ind w:firstLine="360"/>
    </w:pPr>
    <w:rPr>
      <w:rFonts w:ascii="宋体" w:hAnsi="宋体" w:eastAsia="宋体" w:cs="Times New Roman"/>
      <w:snapToGrid w:val="0"/>
      <w:szCs w:val="24"/>
    </w:rPr>
  </w:style>
  <w:style w:type="character" w:customStyle="1" w:styleId="101">
    <w:name w:val="正文文本缩进 Char"/>
    <w:basedOn w:val="39"/>
    <w:link w:val="19"/>
    <w:qFormat/>
    <w:uiPriority w:val="0"/>
    <w:rPr>
      <w:rFonts w:ascii="Times New Roman" w:hAnsi="Times New Roman" w:eastAsia="宋体" w:cs="Times New Roman"/>
      <w:szCs w:val="20"/>
    </w:rPr>
  </w:style>
  <w:style w:type="paragraph" w:customStyle="1" w:styleId="102">
    <w:name w:val="二级无标题条"/>
    <w:basedOn w:val="1"/>
    <w:qFormat/>
    <w:uiPriority w:val="0"/>
    <w:rPr>
      <w:rFonts w:eastAsia="宋体" w:cs="Times New Roman"/>
      <w:szCs w:val="24"/>
    </w:rPr>
  </w:style>
  <w:style w:type="character" w:customStyle="1" w:styleId="103">
    <w:name w:val="宏文本 Char"/>
    <w:basedOn w:val="39"/>
    <w:link w:val="3"/>
    <w:qFormat/>
    <w:uiPriority w:val="0"/>
    <w:rPr>
      <w:rFonts w:ascii="Courier New" w:hAnsi="Courier New" w:eastAsia="宋体" w:cs="Courier New"/>
      <w:sz w:val="24"/>
      <w:szCs w:val="24"/>
    </w:rPr>
  </w:style>
  <w:style w:type="character" w:customStyle="1" w:styleId="104">
    <w:name w:val="正文文本缩进 3 Char"/>
    <w:basedOn w:val="39"/>
    <w:link w:val="28"/>
    <w:qFormat/>
    <w:uiPriority w:val="0"/>
    <w:rPr>
      <w:rFonts w:ascii="Times New Roman" w:hAnsi="Times New Roman" w:eastAsia="宋体" w:cs="Times New Roman"/>
      <w:sz w:val="16"/>
      <w:szCs w:val="16"/>
    </w:rPr>
  </w:style>
  <w:style w:type="paragraph" w:customStyle="1" w:styleId="105">
    <w:name w:val="Char"/>
    <w:basedOn w:val="1"/>
    <w:next w:val="36"/>
    <w:qFormat/>
    <w:uiPriority w:val="0"/>
    <w:rPr>
      <w:rFonts w:eastAsia="宋体" w:cs="Times New Roman"/>
      <w:szCs w:val="24"/>
    </w:rPr>
  </w:style>
  <w:style w:type="paragraph" w:customStyle="1" w:styleId="106">
    <w:name w:val="Char Char Char1 Char"/>
    <w:basedOn w:val="1"/>
    <w:qFormat/>
    <w:uiPriority w:val="0"/>
    <w:pPr>
      <w:widowControl/>
      <w:jc w:val="left"/>
    </w:pPr>
    <w:rPr>
      <w:rFonts w:ascii="宋体" w:hAnsi="宋体" w:eastAsia="宋体" w:cs="宋体"/>
      <w:kern w:val="0"/>
      <w:szCs w:val="24"/>
    </w:rPr>
  </w:style>
  <w:style w:type="paragraph" w:customStyle="1" w:styleId="107">
    <w:name w:val="Char Char Char Char Char Char"/>
    <w:basedOn w:val="1"/>
    <w:next w:val="3"/>
    <w:qFormat/>
    <w:uiPriority w:val="0"/>
    <w:rPr>
      <w:rFonts w:eastAsia="宋体" w:cs="Times New Roman"/>
      <w:sz w:val="28"/>
      <w:szCs w:val="28"/>
    </w:rPr>
  </w:style>
  <w:style w:type="paragraph" w:customStyle="1" w:styleId="108">
    <w:name w:val="xl24"/>
    <w:basedOn w:val="1"/>
    <w:qFormat/>
    <w:uiPriority w:val="0"/>
    <w:pPr>
      <w:widowControl/>
      <w:spacing w:before="100" w:beforeAutospacing="1" w:after="100" w:afterAutospacing="1"/>
      <w:jc w:val="center"/>
    </w:pPr>
    <w:rPr>
      <w:rFonts w:ascii="宋体" w:hAnsi="宋体" w:eastAsia="宋体" w:cs="Times New Roman"/>
      <w:kern w:val="0"/>
      <w:szCs w:val="24"/>
    </w:rPr>
  </w:style>
  <w:style w:type="character" w:customStyle="1" w:styleId="109">
    <w:name w:val="正文缩进 Char1"/>
    <w:basedOn w:val="39"/>
    <w:qFormat/>
    <w:uiPriority w:val="0"/>
    <w:rPr>
      <w:rFonts w:eastAsia="宋体"/>
      <w:kern w:val="2"/>
      <w:sz w:val="21"/>
      <w:szCs w:val="24"/>
      <w:lang w:val="en-US" w:eastAsia="zh-CN" w:bidi="ar-SA"/>
    </w:rPr>
  </w:style>
  <w:style w:type="paragraph" w:customStyle="1" w:styleId="110">
    <w:name w:val="wj样式 + 首行缩进:  2 字符"/>
    <w:basedOn w:val="1"/>
    <w:next w:val="1"/>
    <w:qFormat/>
    <w:uiPriority w:val="0"/>
    <w:pPr>
      <w:ind w:firstLine="536"/>
    </w:pPr>
    <w:rPr>
      <w:rFonts w:eastAsia="宋体" w:cs="宋体"/>
      <w:spacing w:val="14"/>
      <w:szCs w:val="20"/>
    </w:rPr>
  </w:style>
  <w:style w:type="paragraph" w:customStyle="1" w:styleId="111">
    <w:name w:val="无悬挂正文5号"/>
    <w:basedOn w:val="1"/>
    <w:qFormat/>
    <w:uiPriority w:val="0"/>
    <w:pPr>
      <w:jc w:val="center"/>
    </w:pPr>
    <w:rPr>
      <w:rFonts w:eastAsia="宋体" w:cs="Times New Roman"/>
      <w:szCs w:val="24"/>
    </w:rPr>
  </w:style>
  <w:style w:type="character" w:customStyle="1" w:styleId="112">
    <w:name w:val="表格 Char Char"/>
    <w:basedOn w:val="39"/>
    <w:link w:val="78"/>
    <w:qFormat/>
    <w:uiPriority w:val="0"/>
    <w:rPr>
      <w:bCs/>
    </w:rPr>
  </w:style>
  <w:style w:type="paragraph" w:customStyle="1" w:styleId="113">
    <w:name w:val="表格文字"/>
    <w:basedOn w:val="13"/>
    <w:link w:val="114"/>
    <w:qFormat/>
    <w:uiPriority w:val="0"/>
    <w:pPr>
      <w:snapToGrid w:val="0"/>
      <w:spacing w:line="340" w:lineRule="exact"/>
      <w:ind w:firstLine="0" w:firstLineChars="0"/>
      <w:jc w:val="center"/>
    </w:pPr>
    <w:rPr>
      <w:rFonts w:ascii="宋体" w:hAnsi="Arial" w:cs="Times New Roman"/>
      <w:sz w:val="21"/>
      <w:szCs w:val="20"/>
    </w:rPr>
  </w:style>
  <w:style w:type="character" w:customStyle="1" w:styleId="114">
    <w:name w:val="表格文字 Char"/>
    <w:link w:val="113"/>
    <w:qFormat/>
    <w:uiPriority w:val="0"/>
    <w:rPr>
      <w:rFonts w:ascii="宋体" w:hAnsi="Arial" w:eastAsia="宋体" w:cs="Times New Roman"/>
      <w:szCs w:val="20"/>
    </w:rPr>
  </w:style>
  <w:style w:type="character" w:customStyle="1" w:styleId="115">
    <w:name w:val="标题 3 Char1"/>
    <w:basedOn w:val="39"/>
    <w:qFormat/>
    <w:uiPriority w:val="0"/>
    <w:rPr>
      <w:b/>
      <w:bCs/>
      <w:kern w:val="2"/>
      <w:sz w:val="32"/>
      <w:szCs w:val="32"/>
    </w:rPr>
  </w:style>
  <w:style w:type="character" w:customStyle="1" w:styleId="116">
    <w:name w:val="批注框文本 Char"/>
    <w:basedOn w:val="39"/>
    <w:link w:val="23"/>
    <w:qFormat/>
    <w:uiPriority w:val="0"/>
    <w:rPr>
      <w:rFonts w:ascii="Times New Roman" w:hAnsi="Times New Roman" w:eastAsia="宋体" w:cs="Times New Roman"/>
      <w:sz w:val="18"/>
      <w:szCs w:val="18"/>
    </w:rPr>
  </w:style>
  <w:style w:type="character" w:customStyle="1" w:styleId="117">
    <w:name w:val="标题 4 Char"/>
    <w:basedOn w:val="39"/>
    <w:qFormat/>
    <w:uiPriority w:val="9"/>
    <w:rPr>
      <w:rFonts w:ascii="Times New Roman" w:hAnsi="Times New Roman" w:eastAsia="宋体" w:cs="Times New Roman"/>
      <w:b/>
      <w:bCs/>
      <w:sz w:val="24"/>
      <w:szCs w:val="28"/>
    </w:rPr>
  </w:style>
  <w:style w:type="paragraph" w:customStyle="1" w:styleId="118">
    <w:name w:val="引用1"/>
    <w:basedOn w:val="1"/>
    <w:next w:val="1"/>
    <w:qFormat/>
    <w:uiPriority w:val="29"/>
    <w:rPr>
      <w:rFonts w:eastAsia="宋体" w:cs="Times New Roman"/>
      <w:i/>
      <w:iCs/>
      <w:color w:val="000000"/>
      <w:szCs w:val="20"/>
    </w:rPr>
  </w:style>
  <w:style w:type="character" w:customStyle="1" w:styleId="119">
    <w:name w:val="正文文本 3 Char"/>
    <w:basedOn w:val="39"/>
    <w:link w:val="17"/>
    <w:semiHidden/>
    <w:qFormat/>
    <w:uiPriority w:val="99"/>
    <w:rPr>
      <w:rFonts w:ascii="Times New Roman" w:hAnsi="Times New Roman" w:eastAsia="宋体" w:cs="Times New Roman"/>
      <w:sz w:val="16"/>
      <w:szCs w:val="16"/>
    </w:rPr>
  </w:style>
  <w:style w:type="character" w:customStyle="1" w:styleId="120">
    <w:name w:val="引用 Char"/>
    <w:basedOn w:val="39"/>
    <w:qFormat/>
    <w:uiPriority w:val="29"/>
    <w:rPr>
      <w:rFonts w:ascii="Times New Roman" w:hAnsi="Times New Roman" w:eastAsia="宋体" w:cs="Times New Roman"/>
      <w:i/>
      <w:iCs/>
      <w:color w:val="000000"/>
      <w:sz w:val="24"/>
      <w:szCs w:val="20"/>
    </w:rPr>
  </w:style>
  <w:style w:type="paragraph" w:styleId="121">
    <w:name w:val="Quote"/>
    <w:basedOn w:val="1"/>
    <w:next w:val="1"/>
    <w:link w:val="130"/>
    <w:qFormat/>
    <w:uiPriority w:val="29"/>
    <w:rPr>
      <w:rFonts w:eastAsia="宋体" w:cs="Times New Roman"/>
      <w:i/>
      <w:iCs/>
      <w:color w:val="000000"/>
      <w:szCs w:val="20"/>
    </w:rPr>
  </w:style>
  <w:style w:type="character" w:customStyle="1" w:styleId="122">
    <w:name w:val="标题 2 Char1"/>
    <w:basedOn w:val="39"/>
    <w:link w:val="5"/>
    <w:qFormat/>
    <w:uiPriority w:val="9"/>
    <w:rPr>
      <w:rFonts w:ascii="Times New Roman" w:hAnsi="Times New Roman" w:eastAsia="宋体" w:cs="Times New Roman"/>
      <w:b/>
      <w:bCs/>
      <w:kern w:val="2"/>
      <w:sz w:val="24"/>
      <w:szCs w:val="32"/>
    </w:rPr>
  </w:style>
  <w:style w:type="character" w:customStyle="1" w:styleId="123">
    <w:name w:val="明显引用 Char1"/>
    <w:basedOn w:val="39"/>
    <w:link w:val="57"/>
    <w:qFormat/>
    <w:uiPriority w:val="30"/>
    <w:rPr>
      <w:b/>
      <w:bCs/>
      <w:i/>
      <w:iCs/>
      <w:color w:val="4F81BD" w:themeColor="accent1"/>
      <w14:textFill>
        <w14:solidFill>
          <w14:schemeClr w14:val="accent1"/>
        </w14:solidFill>
      </w14:textFill>
    </w:rPr>
  </w:style>
  <w:style w:type="character" w:customStyle="1" w:styleId="124">
    <w:name w:val="明显参考2"/>
    <w:basedOn w:val="39"/>
    <w:qFormat/>
    <w:uiPriority w:val="32"/>
    <w:rPr>
      <w:b/>
      <w:bCs/>
      <w:smallCaps/>
      <w:color w:val="C0504D" w:themeColor="accent2"/>
      <w:spacing w:val="5"/>
      <w:u w:val="single"/>
      <w14:textFill>
        <w14:solidFill>
          <w14:schemeClr w14:val="accent2"/>
        </w14:solidFill>
      </w14:textFill>
    </w:rPr>
  </w:style>
  <w:style w:type="character" w:customStyle="1" w:styleId="125">
    <w:name w:val="不明显参考2"/>
    <w:basedOn w:val="39"/>
    <w:qFormat/>
    <w:uiPriority w:val="31"/>
    <w:rPr>
      <w:smallCaps/>
      <w:color w:val="C0504D" w:themeColor="accent2"/>
      <w:u w:val="single"/>
      <w14:textFill>
        <w14:solidFill>
          <w14:schemeClr w14:val="accent2"/>
        </w14:solidFill>
      </w14:textFill>
    </w:rPr>
  </w:style>
  <w:style w:type="character" w:customStyle="1" w:styleId="126">
    <w:name w:val="副标题 Char1"/>
    <w:basedOn w:val="39"/>
    <w:link w:val="27"/>
    <w:qFormat/>
    <w:uiPriority w:val="11"/>
    <w:rPr>
      <w:rFonts w:eastAsia="宋体" w:asciiTheme="majorHAnsi" w:hAnsiTheme="majorHAnsi" w:cstheme="majorBidi"/>
      <w:b/>
      <w:bCs/>
      <w:kern w:val="28"/>
      <w:sz w:val="32"/>
      <w:szCs w:val="32"/>
    </w:rPr>
  </w:style>
  <w:style w:type="character" w:customStyle="1" w:styleId="127">
    <w:name w:val="正文文本 Char2"/>
    <w:basedOn w:val="39"/>
    <w:link w:val="18"/>
    <w:semiHidden/>
    <w:qFormat/>
    <w:uiPriority w:val="99"/>
  </w:style>
  <w:style w:type="character" w:customStyle="1" w:styleId="128">
    <w:name w:val="纯文本 Char2"/>
    <w:basedOn w:val="39"/>
    <w:link w:val="20"/>
    <w:semiHidden/>
    <w:qFormat/>
    <w:uiPriority w:val="99"/>
    <w:rPr>
      <w:rFonts w:ascii="宋体" w:hAnsi="Courier New" w:eastAsia="宋体" w:cs="Courier New"/>
      <w:szCs w:val="21"/>
    </w:rPr>
  </w:style>
  <w:style w:type="character" w:customStyle="1" w:styleId="129">
    <w:name w:val="标题 4 Char1"/>
    <w:basedOn w:val="39"/>
    <w:link w:val="7"/>
    <w:semiHidden/>
    <w:qFormat/>
    <w:uiPriority w:val="9"/>
    <w:rPr>
      <w:rFonts w:asciiTheme="majorHAnsi" w:hAnsiTheme="majorHAnsi" w:eastAsiaTheme="majorEastAsia" w:cstheme="majorBidi"/>
      <w:b/>
      <w:bCs/>
      <w:sz w:val="28"/>
      <w:szCs w:val="28"/>
    </w:rPr>
  </w:style>
  <w:style w:type="character" w:customStyle="1" w:styleId="130">
    <w:name w:val="引用 Char1"/>
    <w:basedOn w:val="39"/>
    <w:link w:val="121"/>
    <w:qFormat/>
    <w:uiPriority w:val="29"/>
    <w:rPr>
      <w:i/>
      <w:iCs/>
      <w:color w:val="000000" w:themeColor="text1"/>
      <w14:textFill>
        <w14:solidFill>
          <w14:schemeClr w14:val="tx1"/>
        </w14:solidFill>
      </w14:textFill>
    </w:rPr>
  </w:style>
  <w:style w:type="paragraph" w:customStyle="1" w:styleId="131">
    <w:name w:val="环评正文"/>
    <w:basedOn w:val="1"/>
    <w:qFormat/>
    <w:uiPriority w:val="0"/>
    <w:rPr>
      <w:rFonts w:cs="Times New Roman"/>
    </w:rPr>
  </w:style>
  <w:style w:type="character" w:customStyle="1" w:styleId="132">
    <w:name w:val="正文首行缩进 Char"/>
    <w:basedOn w:val="69"/>
    <w:link w:val="35"/>
    <w:qFormat/>
    <w:uiPriority w:val="99"/>
    <w:rPr>
      <w:rFonts w:ascii="Times New Roman" w:hAnsi="Times New Roman" w:eastAsia="宋体"/>
      <w:sz w:val="24"/>
    </w:rPr>
  </w:style>
  <w:style w:type="paragraph" w:customStyle="1" w:styleId="133">
    <w:name w:val="报告表正文"/>
    <w:basedOn w:val="1"/>
    <w:link w:val="134"/>
    <w:qFormat/>
    <w:uiPriority w:val="0"/>
    <w:pPr>
      <w:adjustRightInd w:val="0"/>
      <w:spacing w:line="312" w:lineRule="auto"/>
      <w:ind w:left="113" w:right="113" w:firstLine="482" w:firstLineChars="0"/>
      <w:textAlignment w:val="baseline"/>
    </w:pPr>
    <w:rPr>
      <w:rFonts w:eastAsia="宋体" w:cs="Times New Roman"/>
      <w:kern w:val="0"/>
      <w:szCs w:val="20"/>
    </w:rPr>
  </w:style>
  <w:style w:type="character" w:customStyle="1" w:styleId="134">
    <w:name w:val="报告表正文 Char"/>
    <w:link w:val="133"/>
    <w:qFormat/>
    <w:uiPriority w:val="0"/>
    <w:rPr>
      <w:rFonts w:ascii="Times New Roman" w:hAnsi="Times New Roman" w:eastAsia="宋体" w:cs="Times New Roman"/>
      <w:kern w:val="0"/>
      <w:sz w:val="24"/>
      <w:szCs w:val="20"/>
    </w:rPr>
  </w:style>
  <w:style w:type="character" w:customStyle="1" w:styleId="135">
    <w:name w:val="表标题 Char"/>
    <w:link w:val="136"/>
    <w:qFormat/>
    <w:uiPriority w:val="0"/>
    <w:rPr>
      <w:rFonts w:eastAsia="宋体"/>
      <w:b/>
      <w:bCs/>
      <w:sz w:val="24"/>
      <w:szCs w:val="18"/>
    </w:rPr>
  </w:style>
  <w:style w:type="paragraph" w:customStyle="1" w:styleId="136">
    <w:name w:val="表标题"/>
    <w:basedOn w:val="35"/>
    <w:link w:val="135"/>
    <w:qFormat/>
    <w:uiPriority w:val="0"/>
    <w:pPr>
      <w:adjustRightInd w:val="0"/>
      <w:snapToGrid w:val="0"/>
      <w:spacing w:before="60" w:after="60" w:line="500" w:lineRule="exact"/>
      <w:ind w:firstLine="0" w:firstLineChars="0"/>
      <w:jc w:val="center"/>
    </w:pPr>
    <w:rPr>
      <w:rFonts w:eastAsia="宋体" w:asciiTheme="minorHAnsi" w:hAnsiTheme="minorHAnsi"/>
      <w:b/>
      <w:bCs/>
      <w:szCs w:val="18"/>
    </w:rPr>
  </w:style>
  <w:style w:type="paragraph" w:customStyle="1" w:styleId="137">
    <w:name w:val="纯文本1"/>
    <w:basedOn w:val="1"/>
    <w:qFormat/>
    <w:uiPriority w:val="0"/>
    <w:pPr>
      <w:spacing w:line="240" w:lineRule="auto"/>
      <w:ind w:firstLine="0" w:firstLineChars="0"/>
    </w:pPr>
    <w:rPr>
      <w:rFonts w:hint="eastAsia" w:ascii="宋体" w:hAnsi="Courier New" w:eastAsia="宋体" w:cs="Times New Roman"/>
      <w:sz w:val="21"/>
      <w:szCs w:val="20"/>
    </w:rPr>
  </w:style>
  <w:style w:type="paragraph" w:customStyle="1" w:styleId="138">
    <w:name w:val="表格 32"/>
    <w:basedOn w:val="1"/>
    <w:qFormat/>
    <w:uiPriority w:val="0"/>
    <w:pPr>
      <w:autoSpaceDE w:val="0"/>
      <w:autoSpaceDN w:val="0"/>
      <w:adjustRightInd w:val="0"/>
      <w:jc w:val="center"/>
      <w:textAlignment w:val="baseline"/>
    </w:pPr>
    <w:rPr>
      <w:rFonts w:ascii="宋体" w:hAnsi="Impact" w:eastAsia="宋体" w:cs="Times New Roman"/>
      <w:kern w:val="24"/>
      <w:szCs w:val="20"/>
    </w:rPr>
  </w:style>
  <w:style w:type="paragraph" w:customStyle="1" w:styleId="139">
    <w:name w:val="表格标题"/>
    <w:basedOn w:val="1"/>
    <w:qFormat/>
    <w:uiPriority w:val="0"/>
    <w:pPr>
      <w:ind w:firstLine="0" w:firstLineChars="0"/>
      <w:jc w:val="center"/>
    </w:pPr>
    <w:rPr>
      <w:rFonts w:eastAsia="宋体" w:cs="Times New Roman"/>
      <w:b/>
      <w:sz w:val="21"/>
      <w:szCs w:val="24"/>
    </w:rPr>
  </w:style>
  <w:style w:type="paragraph" w:customStyle="1" w:styleId="140">
    <w:name w:val="表题"/>
    <w:basedOn w:val="78"/>
    <w:qFormat/>
    <w:uiPriority w:val="0"/>
    <w:pPr>
      <w:spacing w:line="240" w:lineRule="auto"/>
      <w:ind w:firstLine="0" w:firstLineChars="0"/>
    </w:pPr>
    <w:rPr>
      <w:rFonts w:eastAsia="宋体" w:cs="Times New Roman"/>
      <w:b/>
      <w:bCs w:val="0"/>
      <w:sz w:val="21"/>
      <w:szCs w:val="24"/>
    </w:rPr>
  </w:style>
  <w:style w:type="character" w:customStyle="1" w:styleId="141">
    <w:name w:val="魏秀珍   正文 Char"/>
    <w:basedOn w:val="39"/>
    <w:link w:val="142"/>
    <w:qFormat/>
    <w:locked/>
    <w:uiPriority w:val="0"/>
    <w:rPr>
      <w:rFonts w:ascii="宋体" w:hAnsi="宋体" w:eastAsia="宋体" w:cs="Times New Roman"/>
      <w:b/>
      <w:bCs/>
      <w:szCs w:val="21"/>
    </w:rPr>
  </w:style>
  <w:style w:type="paragraph" w:customStyle="1" w:styleId="142">
    <w:name w:val="魏秀珍   正文"/>
    <w:basedOn w:val="13"/>
    <w:link w:val="141"/>
    <w:qFormat/>
    <w:uiPriority w:val="0"/>
    <w:pPr>
      <w:ind w:firstLine="422"/>
    </w:pPr>
    <w:rPr>
      <w:rFonts w:ascii="宋体" w:hAnsi="宋体" w:cs="Times New Roman"/>
      <w:b/>
      <w:bCs/>
      <w:sz w:val="21"/>
      <w:szCs w:val="21"/>
    </w:rPr>
  </w:style>
  <w:style w:type="character" w:customStyle="1" w:styleId="143">
    <w:name w:val="文本内容 Char"/>
    <w:basedOn w:val="39"/>
    <w:link w:val="144"/>
    <w:qFormat/>
    <w:uiPriority w:val="0"/>
    <w:rPr>
      <w:rFonts w:eastAsia="宋体" w:cs="宋体"/>
      <w:sz w:val="28"/>
      <w:szCs w:val="21"/>
    </w:rPr>
  </w:style>
  <w:style w:type="paragraph" w:customStyle="1" w:styleId="144">
    <w:name w:val="文本内容"/>
    <w:basedOn w:val="1"/>
    <w:link w:val="143"/>
    <w:qFormat/>
    <w:uiPriority w:val="0"/>
    <w:pPr>
      <w:adjustRightInd w:val="0"/>
      <w:snapToGrid w:val="0"/>
      <w:ind w:firstLine="546"/>
    </w:pPr>
    <w:rPr>
      <w:rFonts w:eastAsia="宋体" w:cs="宋体" w:asciiTheme="minorHAnsi" w:hAnsiTheme="minorHAnsi"/>
      <w:sz w:val="28"/>
      <w:szCs w:val="21"/>
    </w:rPr>
  </w:style>
  <w:style w:type="character" w:customStyle="1" w:styleId="145">
    <w:name w:val="标题 9 Char"/>
    <w:basedOn w:val="39"/>
    <w:link w:val="12"/>
    <w:qFormat/>
    <w:uiPriority w:val="9"/>
    <w:rPr>
      <w:rFonts w:asciiTheme="majorHAnsi" w:hAnsiTheme="majorHAnsi" w:eastAsiaTheme="majorEastAsia" w:cstheme="majorBidi"/>
      <w:szCs w:val="21"/>
    </w:rPr>
  </w:style>
  <w:style w:type="paragraph" w:customStyle="1" w:styleId="146">
    <w:name w:val="表格内容新"/>
    <w:basedOn w:val="1"/>
    <w:next w:val="1"/>
    <w:qFormat/>
    <w:uiPriority w:val="0"/>
    <w:pPr>
      <w:autoSpaceDE w:val="0"/>
      <w:autoSpaceDN w:val="0"/>
      <w:adjustRightInd w:val="0"/>
      <w:snapToGrid w:val="0"/>
      <w:spacing w:line="360" w:lineRule="exact"/>
      <w:ind w:firstLine="0" w:firstLineChars="0"/>
      <w:jc w:val="center"/>
      <w:textAlignment w:val="baseline"/>
    </w:pPr>
    <w:rPr>
      <w:rFonts w:eastAsia="宋体" w:cs="Times New Roman"/>
      <w:kern w:val="24"/>
      <w:sz w:val="21"/>
      <w:szCs w:val="20"/>
    </w:rPr>
  </w:style>
  <w:style w:type="paragraph" w:customStyle="1" w:styleId="147">
    <w:name w:val="中文报告书"/>
    <w:basedOn w:val="1"/>
    <w:qFormat/>
    <w:uiPriority w:val="0"/>
    <w:pPr>
      <w:adjustRightInd w:val="0"/>
      <w:spacing w:after="80" w:line="420" w:lineRule="atLeast"/>
      <w:ind w:firstLine="0" w:firstLineChars="0"/>
      <w:jc w:val="left"/>
      <w:textAlignment w:val="baseline"/>
    </w:pPr>
    <w:rPr>
      <w:rFonts w:eastAsia="宋体" w:cs="Times New Roman"/>
      <w:szCs w:val="20"/>
    </w:rPr>
  </w:style>
  <w:style w:type="paragraph" w:customStyle="1" w:styleId="148">
    <w:name w:val="Char1 Char Char Char1 Char Char Char Char Char Char Char Char Char Char Char Char"/>
    <w:basedOn w:val="1"/>
    <w:next w:val="1"/>
    <w:qFormat/>
    <w:uiPriority w:val="0"/>
    <w:pPr>
      <w:spacing w:line="240" w:lineRule="auto"/>
      <w:ind w:firstLine="0" w:firstLineChars="0"/>
    </w:pPr>
    <w:rPr>
      <w:rFonts w:ascii="宋体" w:hAnsi="宋体" w:eastAsia="宋体" w:cs="Times New Roman"/>
      <w:szCs w:val="24"/>
    </w:rPr>
  </w:style>
  <w:style w:type="character" w:customStyle="1" w:styleId="149">
    <w:name w:val="方案正文 Char Char"/>
    <w:link w:val="150"/>
    <w:qFormat/>
    <w:uiPriority w:val="0"/>
    <w:rPr>
      <w:rFonts w:ascii="宋体" w:hAnsi="宋体" w:eastAsia="宋体"/>
      <w:spacing w:val="14"/>
      <w:sz w:val="24"/>
      <w:szCs w:val="24"/>
    </w:rPr>
  </w:style>
  <w:style w:type="paragraph" w:customStyle="1" w:styleId="150">
    <w:name w:val="方案正文"/>
    <w:basedOn w:val="1"/>
    <w:link w:val="149"/>
    <w:qFormat/>
    <w:uiPriority w:val="0"/>
    <w:pPr>
      <w:spacing w:beforeLines="50" w:afterLines="50"/>
    </w:pPr>
    <w:rPr>
      <w:rFonts w:ascii="宋体" w:hAnsi="宋体" w:eastAsia="宋体"/>
      <w:spacing w:val="14"/>
      <w:szCs w:val="24"/>
    </w:rPr>
  </w:style>
  <w:style w:type="character" w:customStyle="1" w:styleId="151">
    <w:name w:val="批注文字 Char"/>
    <w:basedOn w:val="39"/>
    <w:link w:val="15"/>
    <w:qFormat/>
    <w:uiPriority w:val="0"/>
    <w:rPr>
      <w:rFonts w:ascii="Times New Roman" w:hAnsi="Times New Roman" w:eastAsia="宋体" w:cs="Times New Roman"/>
      <w:szCs w:val="24"/>
    </w:rPr>
  </w:style>
  <w:style w:type="paragraph" w:customStyle="1" w:styleId="152">
    <w:name w:val="Char2"/>
    <w:basedOn w:val="1"/>
    <w:qFormat/>
    <w:uiPriority w:val="0"/>
    <w:pPr>
      <w:spacing w:line="240" w:lineRule="auto"/>
      <w:ind w:firstLine="0" w:firstLineChars="0"/>
    </w:pPr>
    <w:rPr>
      <w:rFonts w:eastAsia="宋体" w:cs="Times New Roman"/>
      <w:sz w:val="21"/>
      <w:szCs w:val="24"/>
    </w:rPr>
  </w:style>
  <w:style w:type="character" w:customStyle="1" w:styleId="153">
    <w:name w:val="标题 Char"/>
    <w:basedOn w:val="39"/>
    <w:link w:val="34"/>
    <w:qFormat/>
    <w:uiPriority w:val="10"/>
    <w:rPr>
      <w:rFonts w:ascii="Times New Roman" w:hAnsi="Times New Roman" w:eastAsia="宋体" w:cstheme="majorBidi"/>
      <w:b/>
      <w:bCs/>
      <w:snapToGrid w:val="0"/>
      <w:sz w:val="24"/>
      <w:szCs w:val="32"/>
    </w:rPr>
  </w:style>
  <w:style w:type="character" w:customStyle="1" w:styleId="154">
    <w:name w:val="font51"/>
    <w:qFormat/>
    <w:uiPriority w:val="0"/>
    <w:rPr>
      <w:rFonts w:hint="eastAsia" w:ascii="宋体" w:hAnsi="宋体" w:eastAsia="宋体" w:cs="宋体"/>
      <w:color w:val="000000"/>
      <w:sz w:val="24"/>
      <w:szCs w:val="24"/>
      <w:u w:val="none"/>
    </w:rPr>
  </w:style>
  <w:style w:type="character" w:customStyle="1" w:styleId="155">
    <w:name w:val="font61"/>
    <w:basedOn w:val="39"/>
    <w:qFormat/>
    <w:uiPriority w:val="0"/>
    <w:rPr>
      <w:rFonts w:hint="eastAsia" w:ascii="宋体" w:hAnsi="宋体" w:eastAsia="宋体" w:cs="宋体"/>
      <w:color w:val="0000FF"/>
      <w:kern w:val="0"/>
      <w:sz w:val="24"/>
      <w:szCs w:val="24"/>
      <w:u w:val="none"/>
    </w:rPr>
  </w:style>
  <w:style w:type="character" w:customStyle="1" w:styleId="156">
    <w:name w:val="font01"/>
    <w:qFormat/>
    <w:uiPriority w:val="0"/>
    <w:rPr>
      <w:rFonts w:hint="eastAsia" w:ascii="宋体" w:hAnsi="宋体" w:eastAsia="宋体" w:cs="宋体"/>
      <w:b/>
      <w:color w:val="000000"/>
      <w:sz w:val="24"/>
      <w:szCs w:val="24"/>
      <w:u w:val="none"/>
    </w:rPr>
  </w:style>
  <w:style w:type="character" w:customStyle="1" w:styleId="157">
    <w:name w:val="font81"/>
    <w:basedOn w:val="39"/>
    <w:qFormat/>
    <w:uiPriority w:val="0"/>
    <w:rPr>
      <w:rFonts w:hint="default" w:ascii="Times New Roman" w:hAnsi="Times New Roman" w:eastAsia="仿宋_GB2312" w:cs="Times New Roman"/>
      <w:color w:val="auto"/>
      <w:kern w:val="0"/>
      <w:sz w:val="24"/>
      <w:szCs w:val="24"/>
      <w:u w:val="none"/>
    </w:rPr>
  </w:style>
  <w:style w:type="character" w:customStyle="1" w:styleId="158">
    <w:name w:val="font71"/>
    <w:basedOn w:val="39"/>
    <w:qFormat/>
    <w:uiPriority w:val="0"/>
    <w:rPr>
      <w:rFonts w:hint="default" w:ascii="Times New Roman" w:hAnsi="Times New Roman" w:eastAsia="仿宋_GB2312" w:cs="Times New Roman"/>
      <w:color w:val="0000FF"/>
      <w:kern w:val="0"/>
      <w:sz w:val="24"/>
      <w:szCs w:val="24"/>
      <w:u w:val="none"/>
    </w:rPr>
  </w:style>
  <w:style w:type="character" w:customStyle="1" w:styleId="159">
    <w:name w:val="标题 5 Char"/>
    <w:basedOn w:val="39"/>
    <w:link w:val="8"/>
    <w:qFormat/>
    <w:uiPriority w:val="9"/>
    <w:rPr>
      <w:rFonts w:ascii="Times New Roman" w:hAnsi="Times New Roman"/>
      <w:b/>
      <w:bCs/>
      <w:sz w:val="28"/>
      <w:szCs w:val="28"/>
    </w:rPr>
  </w:style>
  <w:style w:type="character" w:customStyle="1" w:styleId="160">
    <w:name w:val="标题 6 Char"/>
    <w:basedOn w:val="39"/>
    <w:link w:val="9"/>
    <w:qFormat/>
    <w:uiPriority w:val="9"/>
    <w:rPr>
      <w:rFonts w:asciiTheme="majorHAnsi" w:hAnsiTheme="majorHAnsi" w:eastAsiaTheme="majorEastAsia" w:cstheme="majorBidi"/>
      <w:b/>
      <w:bCs/>
      <w:sz w:val="24"/>
      <w:szCs w:val="24"/>
    </w:rPr>
  </w:style>
  <w:style w:type="character" w:customStyle="1" w:styleId="161">
    <w:name w:val="标题 7 Char"/>
    <w:basedOn w:val="39"/>
    <w:link w:val="10"/>
    <w:qFormat/>
    <w:uiPriority w:val="9"/>
    <w:rPr>
      <w:rFonts w:ascii="Times New Roman" w:hAnsi="Times New Roman"/>
      <w:b/>
      <w:bCs/>
      <w:sz w:val="24"/>
      <w:szCs w:val="24"/>
    </w:rPr>
  </w:style>
  <w:style w:type="character" w:customStyle="1" w:styleId="162">
    <w:name w:val="标题 8 Char"/>
    <w:basedOn w:val="39"/>
    <w:link w:val="11"/>
    <w:qFormat/>
    <w:uiPriority w:val="9"/>
    <w:rPr>
      <w:rFonts w:asciiTheme="majorHAnsi" w:hAnsiTheme="majorHAnsi" w:eastAsiaTheme="majorEastAsia" w:cstheme="majorBidi"/>
      <w:sz w:val="24"/>
      <w:szCs w:val="24"/>
    </w:rPr>
  </w:style>
  <w:style w:type="paragraph" w:customStyle="1" w:styleId="163">
    <w:name w:val="Char1"/>
    <w:basedOn w:val="1"/>
    <w:qFormat/>
    <w:uiPriority w:val="0"/>
    <w:pPr>
      <w:spacing w:line="240" w:lineRule="auto"/>
      <w:ind w:firstLine="538" w:firstLineChars="192"/>
    </w:pPr>
    <w:rPr>
      <w:rFonts w:ascii="黑体" w:hAnsi="宋体" w:eastAsia="黑体" w:cs="Times New Roman"/>
      <w:b/>
      <w:color w:val="000000"/>
      <w:kern w:val="24"/>
      <w:sz w:val="28"/>
      <w:szCs w:val="28"/>
    </w:rPr>
  </w:style>
  <w:style w:type="paragraph" w:customStyle="1" w:styleId="164">
    <w:name w:val="Char1 Char Char Char1 Char Char Char Char Char Char Char Char Char Char Char Char1"/>
    <w:basedOn w:val="1"/>
    <w:next w:val="1"/>
    <w:qFormat/>
    <w:uiPriority w:val="0"/>
    <w:pPr>
      <w:spacing w:line="240" w:lineRule="auto"/>
      <w:ind w:firstLine="0" w:firstLineChars="0"/>
    </w:pPr>
    <w:rPr>
      <w:rFonts w:ascii="宋体" w:hAnsi="宋体" w:eastAsia="宋体" w:cs="Times New Roman"/>
      <w:szCs w:val="24"/>
    </w:rPr>
  </w:style>
  <w:style w:type="paragraph" w:customStyle="1" w:styleId="165">
    <w:name w:val="无间隔1"/>
    <w:basedOn w:val="1"/>
    <w:qFormat/>
    <w:uiPriority w:val="0"/>
    <w:pPr>
      <w:adjustRightInd w:val="0"/>
      <w:snapToGrid w:val="0"/>
      <w:spacing w:line="240" w:lineRule="auto"/>
      <w:ind w:firstLine="0" w:firstLineChars="0"/>
      <w:jc w:val="center"/>
    </w:pPr>
    <w:rPr>
      <w:rFonts w:eastAsia="宋体" w:cs="Times New Roman"/>
      <w:szCs w:val="24"/>
    </w:rPr>
  </w:style>
  <w:style w:type="paragraph" w:customStyle="1" w:styleId="166">
    <w:name w:val="Char Char Char1 Char Char Char Char"/>
    <w:basedOn w:val="1"/>
    <w:qFormat/>
    <w:uiPriority w:val="0"/>
    <w:pPr>
      <w:widowControl/>
      <w:spacing w:line="240" w:lineRule="auto"/>
      <w:ind w:firstLine="0" w:firstLineChars="0"/>
      <w:jc w:val="left"/>
    </w:pPr>
    <w:rPr>
      <w:rFonts w:ascii="宋体" w:hAnsi="宋体" w:eastAsia="宋体" w:cs="Courier New"/>
      <w:kern w:val="0"/>
      <w:sz w:val="32"/>
      <w:szCs w:val="32"/>
    </w:rPr>
  </w:style>
  <w:style w:type="paragraph" w:customStyle="1" w:styleId="167">
    <w:name w:val="Table Paragraph"/>
    <w:basedOn w:val="1"/>
    <w:qFormat/>
    <w:uiPriority w:val="1"/>
    <w:pPr>
      <w:autoSpaceDE w:val="0"/>
      <w:autoSpaceDN w:val="0"/>
      <w:adjustRightInd w:val="0"/>
      <w:spacing w:line="240" w:lineRule="auto"/>
      <w:ind w:firstLine="0" w:firstLineChars="0"/>
      <w:jc w:val="left"/>
    </w:pPr>
    <w:rPr>
      <w:rFonts w:cs="Times New Roman"/>
      <w:kern w:val="0"/>
      <w:szCs w:val="24"/>
    </w:rPr>
  </w:style>
  <w:style w:type="character" w:customStyle="1" w:styleId="168">
    <w:name w:val="样式4 Char2"/>
    <w:link w:val="169"/>
    <w:qFormat/>
    <w:uiPriority w:val="0"/>
    <w:rPr>
      <w:rFonts w:eastAsia="宋体"/>
      <w:color w:val="000000"/>
      <w:sz w:val="24"/>
      <w:szCs w:val="24"/>
    </w:rPr>
  </w:style>
  <w:style w:type="paragraph" w:customStyle="1" w:styleId="169">
    <w:name w:val="样式4"/>
    <w:basedOn w:val="1"/>
    <w:link w:val="168"/>
    <w:qFormat/>
    <w:uiPriority w:val="0"/>
    <w:pPr>
      <w:spacing w:line="240" w:lineRule="auto"/>
    </w:pPr>
    <w:rPr>
      <w:rFonts w:eastAsia="宋体" w:asciiTheme="minorHAnsi" w:hAnsiTheme="minorHAnsi"/>
      <w:color w:val="000000"/>
      <w:kern w:val="0"/>
      <w:szCs w:val="24"/>
    </w:rPr>
  </w:style>
  <w:style w:type="character" w:customStyle="1" w:styleId="170">
    <w:name w:val="latinname"/>
    <w:basedOn w:val="39"/>
    <w:qFormat/>
    <w:uiPriority w:val="0"/>
  </w:style>
  <w:style w:type="character" w:customStyle="1" w:styleId="171">
    <w:name w:val="splatinname"/>
    <w:basedOn w:val="39"/>
    <w:qFormat/>
    <w:uiPriority w:val="0"/>
  </w:style>
  <w:style w:type="paragraph" w:customStyle="1" w:styleId="172">
    <w:name w:val="样式 方正仿宋_GBK 三号 行距: 固定值 28 磅"/>
    <w:basedOn w:val="1"/>
    <w:qFormat/>
    <w:uiPriority w:val="0"/>
    <w:pPr>
      <w:jc w:val="left"/>
    </w:pPr>
    <w:rPr>
      <w:rFonts w:ascii="方正仿宋_GBK" w:hAnsi="方正仿宋_GBK" w:eastAsia="宋体" w:cs="宋体"/>
      <w:sz w:val="28"/>
      <w:szCs w:val="20"/>
    </w:rPr>
  </w:style>
  <w:style w:type="paragraph" w:customStyle="1" w:styleId="173">
    <w:name w:val="表格文字2"/>
    <w:basedOn w:val="1"/>
    <w:qFormat/>
    <w:uiPriority w:val="0"/>
    <w:pPr>
      <w:adjustRightInd w:val="0"/>
      <w:spacing w:before="60" w:line="240" w:lineRule="auto"/>
      <w:ind w:firstLine="0" w:firstLineChars="0"/>
      <w:jc w:val="center"/>
      <w:textAlignment w:val="baseline"/>
    </w:pPr>
    <w:rPr>
      <w:rFonts w:ascii="宋体" w:eastAsia="宋体" w:cs="Times New Roman"/>
      <w:kern w:val="0"/>
      <w:szCs w:val="20"/>
    </w:rPr>
  </w:style>
  <w:style w:type="table" w:customStyle="1" w:styleId="174">
    <w:name w:val="网格型8"/>
    <w:basedOn w:val="3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5">
    <w:name w:val="普通(网站) Char"/>
    <w:link w:val="32"/>
    <w:qFormat/>
    <w:locked/>
    <w:uiPriority w:val="0"/>
    <w:rPr>
      <w:rFonts w:ascii="Arial Unicode MS" w:hAnsi="Arial Unicode MS" w:eastAsia="Arial Unicode MS" w:cs="Arial Unicode MS"/>
      <w:sz w:val="24"/>
      <w:szCs w:val="24"/>
    </w:rPr>
  </w:style>
  <w:style w:type="character" w:customStyle="1" w:styleId="176">
    <w:name w:val="表格 Char"/>
    <w:qFormat/>
    <w:locked/>
    <w:uiPriority w:val="0"/>
    <w:rPr>
      <w:rFonts w:ascii="宋体"/>
      <w:sz w:val="21"/>
    </w:rPr>
  </w:style>
  <w:style w:type="paragraph" w:customStyle="1" w:styleId="177">
    <w:name w:val="报告表正文（首行缩进）"/>
    <w:basedOn w:val="133"/>
    <w:qFormat/>
    <w:uiPriority w:val="0"/>
    <w:pPr>
      <w:spacing w:line="360" w:lineRule="auto"/>
      <w:ind w:left="0" w:right="0" w:firstLine="562" w:firstLineChars="200"/>
      <w:jc w:val="left"/>
    </w:pPr>
    <w:rPr>
      <w:szCs w:val="24"/>
    </w:rPr>
  </w:style>
  <w:style w:type="paragraph" w:customStyle="1" w:styleId="178">
    <w:name w:val="表格式"/>
    <w:basedOn w:val="179"/>
    <w:qFormat/>
    <w:uiPriority w:val="0"/>
    <w:pPr>
      <w:autoSpaceDE w:val="0"/>
      <w:autoSpaceDN w:val="0"/>
      <w:spacing w:line="240" w:lineRule="auto"/>
      <w:ind w:firstLine="0" w:firstLineChars="0"/>
      <w:jc w:val="center"/>
      <w:textAlignment w:val="bottom"/>
    </w:pPr>
    <w:rPr>
      <w:rFonts w:eastAsia="宋体" w:cs="Times New Roman"/>
      <w:kern w:val="0"/>
      <w:sz w:val="21"/>
      <w:szCs w:val="21"/>
    </w:rPr>
  </w:style>
  <w:style w:type="paragraph" w:customStyle="1" w:styleId="179">
    <w:name w:val="报告书"/>
    <w:basedOn w:val="1"/>
    <w:qFormat/>
    <w:uiPriority w:val="0"/>
    <w:pPr>
      <w:autoSpaceDE w:val="0"/>
      <w:autoSpaceDN w:val="0"/>
      <w:adjustRightInd w:val="0"/>
      <w:ind w:firstLine="505"/>
      <w:jc w:val="left"/>
      <w:textAlignment w:val="bottom"/>
    </w:pPr>
    <w:rPr>
      <w:kern w:val="0"/>
      <w:szCs w:val="20"/>
    </w:rPr>
  </w:style>
  <w:style w:type="character" w:customStyle="1" w:styleId="180">
    <w:name w:val="正文首行缩进 2 Char"/>
    <w:basedOn w:val="101"/>
    <w:link w:val="36"/>
    <w:semiHidden/>
    <w:qFormat/>
    <w:uiPriority w:val="99"/>
    <w:rPr>
      <w:rFonts w:ascii="Times New Roman" w:hAnsi="Times New Roman" w:eastAsia="宋体" w:cs="Times New Roman"/>
      <w:kern w:val="2"/>
      <w:sz w:val="24"/>
      <w:szCs w:val="22"/>
    </w:rPr>
  </w:style>
  <w:style w:type="character" w:customStyle="1" w:styleId="181">
    <w:name w:val="正文缩进 Char2"/>
    <w:qFormat/>
    <w:uiPriority w:val="0"/>
    <w:rPr>
      <w:rFonts w:ascii="Times New Roman" w:hAnsi="Times New Roman" w:eastAsia="宋体"/>
      <w:sz w:val="24"/>
    </w:rPr>
  </w:style>
  <w:style w:type="paragraph" w:customStyle="1" w:styleId="182">
    <w:name w:val="表内容"/>
    <w:basedOn w:val="1"/>
    <w:qFormat/>
    <w:uiPriority w:val="0"/>
    <w:pPr>
      <w:widowControl/>
      <w:autoSpaceDE w:val="0"/>
      <w:autoSpaceDN w:val="0"/>
      <w:spacing w:line="240" w:lineRule="auto"/>
      <w:jc w:val="center"/>
      <w:textAlignment w:val="bottom"/>
    </w:pPr>
    <w:rPr>
      <w:rFonts w:hAnsi="宋体"/>
      <w:sz w:val="21"/>
      <w:szCs w:val="21"/>
    </w:rPr>
  </w:style>
  <w:style w:type="paragraph" w:customStyle="1" w:styleId="183">
    <w:name w:val="文本正文"/>
    <w:qFormat/>
    <w:uiPriority w:val="0"/>
    <w:pPr>
      <w:adjustRightInd w:val="0"/>
      <w:snapToGrid w:val="0"/>
      <w:spacing w:line="360" w:lineRule="auto"/>
      <w:ind w:firstLine="200" w:firstLineChars="200"/>
    </w:pPr>
    <w:rPr>
      <w:rFonts w:ascii="Times New Roman" w:hAnsi="Times New Roman" w:eastAsia="宋体" w:cs="Times New Roman"/>
      <w:sz w:val="24"/>
      <w:lang w:val="en-US" w:eastAsia="zh-CN" w:bidi="ar-SA"/>
    </w:rPr>
  </w:style>
  <w:style w:type="character" w:customStyle="1" w:styleId="184">
    <w:name w:val="正文（首行缩进两字） Char"/>
    <w:qFormat/>
    <w:uiPriority w:val="0"/>
    <w:rPr>
      <w:rFonts w:hint="eastAsia" w:ascii="宋体" w:hAnsi="宋体" w:eastAsia="宋体"/>
      <w:kern w:val="2"/>
      <w:sz w:val="24"/>
      <w:lang w:val="en-US" w:eastAsia="zh-CN"/>
    </w:rPr>
  </w:style>
  <w:style w:type="paragraph" w:customStyle="1" w:styleId="18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0C774-E5ED-4B44-84CD-82670542A3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41083</Words>
  <Characters>44902</Characters>
  <Lines>164</Lines>
  <Paragraphs>46</Paragraphs>
  <TotalTime>3</TotalTime>
  <ScaleCrop>false</ScaleCrop>
  <LinksUpToDate>false</LinksUpToDate>
  <CharactersWithSpaces>45157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2016-07-20T02:42:00Z</dcterms:created>
  <dc:creator>李林宝</dc:creator>
  <cp:lastModifiedBy>Administrator</cp:lastModifiedBy>
  <cp:lastPrinted>2020-04-24T01:10:00Z</cp:lastPrinted>
  <dcterms:modified xsi:type="dcterms:W3CDTF">2023-10-09T07:43:29Z</dcterms:modified>
  <cp:revision>4352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4CD4814D21A34316B1F841E866AB6EC1</vt:lpwstr>
  </property>
</Properties>
</file>