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姚安县烟花爆竹经营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零售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许可现场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安全条件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审查表</w:t>
      </w:r>
    </w:p>
    <w:tbl>
      <w:tblPr>
        <w:tblStyle w:val="7"/>
        <w:tblpPr w:leftFromText="180" w:rightFromText="180" w:vertAnchor="text" w:horzAnchor="page" w:tblpX="1350" w:tblpY="15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082"/>
        <w:gridCol w:w="1160"/>
        <w:gridCol w:w="1180"/>
        <w:gridCol w:w="12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店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lang w:val="en-US" w:eastAsia="zh-CN"/>
              </w:rPr>
              <w:t>(点)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名称：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负责人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店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lang w:eastAsia="zh-CN"/>
              </w:rPr>
              <w:t>（点）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经营地址：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经营场所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审查标准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审查结果（符合或不符合）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局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1.烟花爆竹零售店（点）不得与居住场所设置在同一建筑物内，不得设置在城镇居民集中居住小区内。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2.烟花爆竹零售店（点）不应布置在军事管理区、风景名胜区、文物保护区等禁止燃放烟花爆竹区域内。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3.烟花爆竹零售店（点）不应布置在地下室、桥下及涵洞、三层及以上建筑物内。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4.当烟花爆竹零售店（点）布置在两层建筑物内时，其正上方不应有人员活动场所，上下层之间不应有楼梯和洞口。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5.当烟花爆竹零售店（点）毗邻其他建筑物时，其毗邻墙体应为不燃材料墙体，且不应有门窗和洞口。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6.烟花爆竹零售店（点）内部应将产品堆放区和销售柜台分区布置，确保安全疏散通道畅通。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7.严禁将烟花爆竹零售店（点）作为其他经营场所和生活场所的人员进出入通道。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8.专柜销售的烟花爆竹零售店（点）应相对独立，其他商品销售场所的安全疏散通道不应通过烟花爆竹销售场所。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9.在烟花爆竹零售店（点）的醒目位置应悬挂烟花爆竹经营（零售）许可证和营业执照。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10.在烟花爆竹零售店（点）的醒目位置设置禁止烟火等安全警示标识。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11.零售场所的面积不小于10平方米，其周边50米范围内没有其他烟花爆竹零售点，并与学校、幼儿园、医院、集贸市场等人员密集场所和加油站等易燃易爆物品生产、储存设施等重点建筑物保持100米以上的安全距离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</w:rPr>
              <w:t>12.是否属于集中连片经营、在超市内销售、未按规定专店销售的零售点。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构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13.烟花爆竹零售店（点）建筑物的耐火等级不应低于三级；采用搭棚形式设置时，应采用不燃或难燃材料搭建。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14.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烟花爆竹零售店（点）与其他场所联建时，其隔墙应为厚度不小于180毫米的密实砖墙，或者耐火极限不低于3小时的其他密实墙。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15.烟花爆竹零售店（点）的安全疏散门宜采用向外开启的平开门；采用其他形式的门时，应符合消防安全疏散要求。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16.顾客进出的门洞宽不应小于1.5米，搬运产品进出的门洞宽不宜小于1.2米。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防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17.烟花爆竹零售店（点）上空禁止1千伏及以上的电力线路跨越。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18.烟花爆竹零售店（点）禁止使用白炽灯、射灯等容易产生高温的灯具，电气线路应穿钢管敷设。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19.烟花爆竹零售店（点）采用非防爆型电器时，电器应与产品保持不小于1.2米的水平投影距离。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20.烟花爆竹零售店（点）内严禁有明火，不应有输送易燃易爆物质的管道通过。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21.烟花爆竹零售店（点）禁止采用产生明火和有强热辐射的采暖设备；采暖宜选用水暖，且产品与采暖设备的距离应不小于30厘米。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22.烟花爆竹零售店（点）应配备至少两具5公斤及以上的磷酸铵盐干粉灭火器，灭火器放置位置应便于取用。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其他方面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23.是否符合所在地县级安全监管局制定的零售经营布点规划。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24.是否主要负责人经过安全培训合格，销售人员经过安全知识教育。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25.是否销售超标、违禁、专业燃放类产品或非法产品。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26.是否在许可证载明的经营场所外存放烟花爆竹。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27.是否超许可证载明限量存放烟花爆竹。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28.是否存在其他违法违规违章行为。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乡镇安监办现场审查意见：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现场核查人员签名：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0" w:firstLineChars="1150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480" w:firstLineChars="1450"/>
              <w:textAlignment w:val="auto"/>
              <w:rPr>
                <w:rFonts w:ascii="Times New Roman"/>
                <w:szCs w:val="21"/>
              </w:rPr>
            </w:pPr>
            <w:r>
              <w:rPr>
                <w:rFonts w:hint="eastAsia" w:ascii="方正仿宋简体" w:eastAsia="方正仿宋简体"/>
                <w:sz w:val="24"/>
              </w:rPr>
              <w:t>年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月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日</w:t>
            </w:r>
          </w:p>
        </w:tc>
        <w:tc>
          <w:tcPr>
            <w:tcW w:w="48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派出所现场审查意见：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</w:rPr>
              <w:t>现场核查人员签名：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0" w:firstLineChars="1250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0" w:firstLineChars="1150"/>
              <w:textAlignment w:val="auto"/>
              <w:rPr>
                <w:rFonts w:ascii="Times New Roman"/>
                <w:szCs w:val="21"/>
              </w:rPr>
            </w:pPr>
            <w:r>
              <w:rPr>
                <w:rFonts w:hint="eastAsia" w:ascii="方正仿宋简体" w:eastAsia="方正仿宋简体"/>
                <w:sz w:val="24"/>
              </w:rPr>
              <w:t>年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月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日</w:t>
            </w:r>
          </w:p>
        </w:tc>
      </w:tr>
    </w:tbl>
    <w:tbl>
      <w:tblPr>
        <w:tblStyle w:val="7"/>
        <w:tblpPr w:leftFromText="180" w:rightFromText="180" w:vertAnchor="text" w:horzAnchor="page" w:tblpX="1350" w:tblpY="272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业务科（股）室审查意见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ind w:firstLine="3920" w:firstLineChars="14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分管领导</w:t>
            </w:r>
          </w:p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审查意见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ind w:firstLine="3640" w:firstLineChars="13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3640" w:firstLineChars="13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发证机关</w:t>
            </w:r>
          </w:p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审批意见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ind w:firstLine="3640" w:firstLineChars="13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盖章）</w:t>
            </w: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345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  <w:szCs w:val="24"/>
              </w:rPr>
              <w:t>许可证信息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存放数量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证书编号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证书有效期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日至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发证机关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姚安县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应急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发证时间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</w:rPr>
              <w:t>年</w:t>
            </w:r>
            <w:r>
              <w:rPr>
                <w:rFonts w:ascii="方正仿宋简体" w:eastAsia="方正仿宋简体"/>
              </w:rPr>
              <w:t xml:space="preserve">  </w:t>
            </w:r>
            <w:r>
              <w:rPr>
                <w:rFonts w:hint="eastAsia" w:ascii="方正仿宋简体" w:eastAsia="方正仿宋简体"/>
              </w:rPr>
              <w:t>月</w:t>
            </w:r>
            <w:r>
              <w:rPr>
                <w:rFonts w:ascii="方正仿宋简体" w:eastAsia="方正仿宋简体"/>
              </w:rPr>
              <w:t xml:space="preserve">  </w:t>
            </w:r>
            <w:r>
              <w:rPr>
                <w:rFonts w:hint="eastAsia" w:ascii="方正仿宋简体" w:eastAsia="方正仿宋简体"/>
              </w:rPr>
              <w:t>日</w:t>
            </w:r>
          </w:p>
        </w:tc>
      </w:tr>
    </w:tbl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BfEV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782B"/>
    <w:rsid w:val="02312E52"/>
    <w:rsid w:val="0B44019B"/>
    <w:rsid w:val="0C74198F"/>
    <w:rsid w:val="165E1244"/>
    <w:rsid w:val="22207DAB"/>
    <w:rsid w:val="28A77BEF"/>
    <w:rsid w:val="2F3D235B"/>
    <w:rsid w:val="2F5A2CE8"/>
    <w:rsid w:val="36A7781A"/>
    <w:rsid w:val="5A832E53"/>
    <w:rsid w:val="5BC834B0"/>
    <w:rsid w:val="7EC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2D4159"/>
      <w:u w:val="none"/>
    </w:rPr>
  </w:style>
  <w:style w:type="character" w:styleId="10">
    <w:name w:val="HTML Typewriter"/>
    <w:basedOn w:val="8"/>
    <w:qFormat/>
    <w:uiPriority w:val="0"/>
    <w:rPr>
      <w:b/>
      <w:color w:val="FFFFFF"/>
    </w:rPr>
  </w:style>
  <w:style w:type="character" w:styleId="11">
    <w:name w:val="Hyperlink"/>
    <w:basedOn w:val="8"/>
    <w:qFormat/>
    <w:uiPriority w:val="0"/>
    <w:rPr>
      <w:color w:val="2D4159"/>
      <w:u w:val="none"/>
    </w:rPr>
  </w:style>
  <w:style w:type="paragraph" w:customStyle="1" w:styleId="12">
    <w:name w:val="要求"/>
    <w:basedOn w:val="1"/>
    <w:qFormat/>
    <w:uiPriority w:val="99"/>
    <w:pPr>
      <w:widowControl/>
      <w:autoSpaceDE w:val="0"/>
      <w:autoSpaceDN w:val="0"/>
      <w:adjustRightInd w:val="0"/>
      <w:snapToGrid w:val="0"/>
      <w:spacing w:before="100" w:beforeAutospacing="1" w:after="100" w:afterAutospacing="1"/>
      <w:ind w:left="200" w:leftChars="200" w:firstLine="200" w:firstLineChars="200"/>
    </w:pPr>
    <w:rPr>
      <w:rFonts w:ascii="宋体" w:hAnsi="Times New Roman"/>
      <w:kern w:val="0"/>
      <w:szCs w:val="21"/>
    </w:rPr>
  </w:style>
  <w:style w:type="paragraph" w:customStyle="1" w:styleId="13">
    <w:name w:val="示例内容"/>
    <w:basedOn w:val="1"/>
    <w:qFormat/>
    <w:uiPriority w:val="99"/>
    <w:pPr>
      <w:widowControl/>
      <w:ind w:firstLine="200" w:firstLineChars="200"/>
      <w:jc w:val="left"/>
    </w:pPr>
    <w:rPr>
      <w:rFonts w:ascii="宋体" w:hAnsi="Times New Roman"/>
      <w:kern w:val="0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2021-09-01T08:07:00Z</dcterms:created>
  <dc:creator>许多年以后</dc:creator>
  <cp:lastModifiedBy>周霞</cp:lastModifiedBy>
  <cp:lastPrinted>2021-09-01T09:15:00Z</cp:lastPrinted>
  <dcterms:modified xsi:type="dcterms:W3CDTF">2021-10-22T07:20:52Z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B0C6DC14CBA946EE96E40E86F078B1F6</vt:lpwstr>
  </property>
</Properties>
</file>