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Layout w:type="fixed"/>
        <w:tblCellMar>
          <w:top w:w="0" w:type="dxa"/>
          <w:left w:w="108" w:type="dxa"/>
          <w:bottom w:w="0" w:type="dxa"/>
          <w:right w:w="108" w:type="dxa"/>
        </w:tblCellMar>
      </w:tblPr>
      <w:tblGrid>
        <w:gridCol w:w="7083"/>
        <w:gridCol w:w="1921"/>
      </w:tblGrid>
      <w:tr>
        <w:tblPrEx>
          <w:tblCellMar>
            <w:top w:w="0" w:type="dxa"/>
            <w:left w:w="108" w:type="dxa"/>
            <w:bottom w:w="0" w:type="dxa"/>
            <w:right w:w="108" w:type="dxa"/>
          </w:tblCellMar>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2019</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181</w:t>
      </w:r>
      <w:r>
        <w:rPr>
          <w:rFonts w:ascii="Times New Roman" w:hAnsi="Times New Roman" w:eastAsia="仿宋"/>
          <w:sz w:val="32"/>
          <w:szCs w:val="32"/>
        </w:rPr>
        <w:t>号</w:t>
      </w:r>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姚安县财政局  姚安县卫生健康局关于下达2019年</w:t>
      </w:r>
      <w:r>
        <w:rPr>
          <w:rFonts w:hint="eastAsia" w:ascii="Times New Roman" w:hAnsi="Times New Roman" w:eastAsia="方正小标宋简体"/>
          <w:color w:val="000000" w:themeColor="text1"/>
          <w:sz w:val="44"/>
          <w:szCs w:val="44"/>
          <w:lang w:eastAsia="zh-CN"/>
        </w:rPr>
        <w:t>国家</w:t>
      </w:r>
      <w:r>
        <w:rPr>
          <w:rFonts w:ascii="Times New Roman" w:hAnsi="Times New Roman" w:eastAsia="方正小标宋简体"/>
          <w:color w:val="000000" w:themeColor="text1"/>
          <w:sz w:val="44"/>
          <w:szCs w:val="44"/>
        </w:rPr>
        <w:t>基本公共卫生服务项目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lang w:eastAsia="zh-CN"/>
        </w:rPr>
        <w:t>省州</w:t>
      </w:r>
      <w:r>
        <w:rPr>
          <w:rFonts w:ascii="Times New Roman" w:hAnsi="Times New Roman" w:eastAsia="方正小标宋简体"/>
          <w:color w:val="000000" w:themeColor="text1"/>
          <w:sz w:val="44"/>
          <w:szCs w:val="44"/>
        </w:rPr>
        <w:t>结算补助资金的通知</w:t>
      </w: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left"/>
        <w:textAlignment w:val="auto"/>
        <w:outlineLvl w:val="9"/>
        <w:rPr>
          <w:rFonts w:ascii="Times New Roman" w:hAnsi="Times New Roman" w:eastAsia="方正仿宋简体"/>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color w:val="000000" w:themeColor="text1"/>
          <w:sz w:val="32"/>
          <w:szCs w:val="32"/>
        </w:rPr>
      </w:pPr>
      <w:r>
        <w:rPr>
          <w:rFonts w:eastAsia="方正仿宋简体"/>
          <w:color w:val="000000"/>
          <w:sz w:val="32"/>
          <w:szCs w:val="32"/>
        </w:rPr>
        <w:t>各乡镇卫生院、栋川社区卫生服务中心，县级各医疗卫生单位</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为实施好我县 201</w:t>
      </w:r>
      <w:r>
        <w:rPr>
          <w:rFonts w:hint="default" w:ascii="Times New Roman" w:hAnsi="Times New Roman" w:eastAsia="方正仿宋简体" w:cs="Times New Roman"/>
          <w:color w:val="000000" w:themeColor="text1"/>
          <w:sz w:val="32"/>
          <w:szCs w:val="32"/>
          <w:lang w:val="en-US" w:eastAsia="zh-CN"/>
        </w:rPr>
        <w:t>9</w:t>
      </w:r>
      <w:r>
        <w:rPr>
          <w:rFonts w:hint="default" w:ascii="Times New Roman" w:hAnsi="Times New Roman" w:eastAsia="方正仿宋简体" w:cs="Times New Roman"/>
          <w:color w:val="000000" w:themeColor="text1"/>
          <w:sz w:val="32"/>
          <w:szCs w:val="32"/>
        </w:rPr>
        <w:t>年基本公共卫生服务项目，提高我县城</w:t>
      </w:r>
    </w:p>
    <w:p>
      <w:pPr>
        <w:keepNext w:val="0"/>
        <w:keepLines w:val="0"/>
        <w:pageBreakBefore w:val="0"/>
        <w:widowControl w:val="0"/>
        <w:kinsoku/>
        <w:wordWrap/>
        <w:overflowPunct/>
        <w:topLinePunct w:val="0"/>
        <w:autoSpaceDE/>
        <w:autoSpaceDN/>
        <w:bidi w:val="0"/>
        <w:spacing w:line="578" w:lineRule="exact"/>
        <w:ind w:right="0" w:rightChars="0"/>
        <w:jc w:val="both"/>
        <w:textAlignment w:val="auto"/>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乡居民的健康水平，根据《楚雄州财政局</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sz w:val="32"/>
          <w:szCs w:val="32"/>
        </w:rPr>
        <w:t>楚雄州卫生</w:t>
      </w:r>
      <w:r>
        <w:rPr>
          <w:rFonts w:hint="default" w:ascii="Times New Roman" w:hAnsi="Times New Roman" w:eastAsia="方正仿宋简体" w:cs="Times New Roman"/>
          <w:color w:val="000000" w:themeColor="text1"/>
          <w:sz w:val="32"/>
          <w:szCs w:val="32"/>
          <w:lang w:eastAsia="zh-CN"/>
        </w:rPr>
        <w:t>健康</w:t>
      </w:r>
      <w:r>
        <w:rPr>
          <w:rFonts w:hint="default" w:ascii="Times New Roman" w:hAnsi="Times New Roman" w:eastAsia="方正仿宋简体" w:cs="Times New Roman"/>
          <w:color w:val="000000" w:themeColor="text1"/>
          <w:sz w:val="32"/>
          <w:szCs w:val="32"/>
        </w:rPr>
        <w:t>委关于下达2019年</w:t>
      </w:r>
      <w:r>
        <w:rPr>
          <w:rFonts w:hint="default" w:ascii="Times New Roman" w:hAnsi="Times New Roman" w:eastAsia="方正仿宋简体" w:cs="Times New Roman"/>
          <w:color w:val="000000" w:themeColor="text1"/>
          <w:sz w:val="32"/>
          <w:szCs w:val="32"/>
          <w:lang w:eastAsia="zh-CN"/>
        </w:rPr>
        <w:t>国家基本</w:t>
      </w:r>
      <w:r>
        <w:rPr>
          <w:rFonts w:hint="default" w:ascii="Times New Roman" w:hAnsi="Times New Roman" w:eastAsia="方正仿宋简体" w:cs="Times New Roman"/>
          <w:color w:val="000000" w:themeColor="text1"/>
          <w:sz w:val="32"/>
          <w:szCs w:val="32"/>
        </w:rPr>
        <w:t>公共卫生服务项目</w:t>
      </w:r>
      <w:r>
        <w:rPr>
          <w:rFonts w:hint="default" w:ascii="Times New Roman" w:hAnsi="Times New Roman" w:eastAsia="方正仿宋简体" w:cs="Times New Roman"/>
          <w:color w:val="000000" w:themeColor="text1"/>
          <w:sz w:val="32"/>
          <w:szCs w:val="32"/>
          <w:lang w:eastAsia="zh-CN"/>
        </w:rPr>
        <w:t>省州结算补助资金</w:t>
      </w:r>
      <w:r>
        <w:rPr>
          <w:rFonts w:hint="default" w:ascii="Times New Roman" w:hAnsi="Times New Roman" w:eastAsia="方正仿宋简体" w:cs="Times New Roman"/>
          <w:color w:val="000000" w:themeColor="text1"/>
          <w:sz w:val="32"/>
          <w:szCs w:val="32"/>
        </w:rPr>
        <w:t>的通知》（楚财社〔201</w:t>
      </w:r>
      <w:r>
        <w:rPr>
          <w:rFonts w:hint="default" w:ascii="Times New Roman" w:hAnsi="Times New Roman" w:eastAsia="方正仿宋简体" w:cs="Times New Roman"/>
          <w:color w:val="000000" w:themeColor="text1"/>
          <w:sz w:val="32"/>
          <w:szCs w:val="32"/>
          <w:lang w:val="en-US" w:eastAsia="zh-CN"/>
        </w:rPr>
        <w:t>9</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val="en-US" w:eastAsia="zh-CN"/>
        </w:rPr>
        <w:t>187</w:t>
      </w:r>
      <w:r>
        <w:rPr>
          <w:rFonts w:hint="default" w:ascii="Times New Roman" w:hAnsi="Times New Roman" w:eastAsia="方正仿宋简体" w:cs="Times New Roman"/>
          <w:color w:val="000000" w:themeColor="text1"/>
          <w:sz w:val="32"/>
          <w:szCs w:val="32"/>
        </w:rPr>
        <w:t>号），现将2019年</w:t>
      </w:r>
      <w:r>
        <w:rPr>
          <w:rFonts w:hint="default" w:ascii="Times New Roman" w:hAnsi="Times New Roman" w:eastAsia="方正仿宋简体" w:cs="Times New Roman"/>
          <w:color w:val="000000" w:themeColor="text1"/>
          <w:sz w:val="32"/>
          <w:szCs w:val="32"/>
          <w:lang w:eastAsia="zh-CN"/>
        </w:rPr>
        <w:t>国家基本</w:t>
      </w:r>
      <w:r>
        <w:rPr>
          <w:rFonts w:hint="default" w:ascii="Times New Roman" w:hAnsi="Times New Roman" w:eastAsia="方正仿宋简体" w:cs="Times New Roman"/>
          <w:color w:val="000000" w:themeColor="text1"/>
          <w:sz w:val="32"/>
          <w:szCs w:val="32"/>
        </w:rPr>
        <w:t>公共卫生服务项目</w:t>
      </w:r>
      <w:r>
        <w:rPr>
          <w:rFonts w:hint="default" w:ascii="Times New Roman" w:hAnsi="Times New Roman" w:eastAsia="方正仿宋简体" w:cs="Times New Roman"/>
          <w:color w:val="000000" w:themeColor="text1"/>
          <w:sz w:val="32"/>
          <w:szCs w:val="32"/>
          <w:lang w:eastAsia="zh-CN"/>
        </w:rPr>
        <w:t>省</w:t>
      </w:r>
      <w:r>
        <w:rPr>
          <w:rFonts w:hint="eastAsia" w:ascii="Times New Roman" w:hAnsi="Times New Roman" w:eastAsia="方正仿宋简体" w:cs="Times New Roman"/>
          <w:color w:val="000000" w:themeColor="text1"/>
          <w:sz w:val="32"/>
          <w:szCs w:val="32"/>
          <w:lang w:eastAsia="zh-CN"/>
        </w:rPr>
        <w:t>州</w:t>
      </w:r>
      <w:r>
        <w:rPr>
          <w:rFonts w:hint="default" w:ascii="Times New Roman" w:hAnsi="Times New Roman" w:eastAsia="方正仿宋简体" w:cs="Times New Roman"/>
          <w:color w:val="000000" w:themeColor="text1"/>
          <w:sz w:val="32"/>
          <w:szCs w:val="32"/>
          <w:lang w:eastAsia="zh-CN"/>
        </w:rPr>
        <w:t>结算</w:t>
      </w:r>
      <w:r>
        <w:rPr>
          <w:rFonts w:hint="default" w:ascii="Times New Roman" w:hAnsi="Times New Roman" w:eastAsia="方正仿宋简体" w:cs="Times New Roman"/>
          <w:color w:val="000000" w:themeColor="text1"/>
          <w:sz w:val="32"/>
          <w:szCs w:val="32"/>
        </w:rPr>
        <w:t>补助资金</w:t>
      </w:r>
      <w:r>
        <w:rPr>
          <w:rFonts w:hint="eastAsia" w:ascii="Times New Roman" w:hAnsi="Times New Roman" w:eastAsia="方正仿宋简体" w:cs="Times New Roman"/>
          <w:color w:val="000000" w:themeColor="text1"/>
          <w:sz w:val="32"/>
          <w:szCs w:val="32"/>
          <w:lang w:val="en-US" w:eastAsia="zh-CN"/>
        </w:rPr>
        <w:t>96.02</w:t>
      </w:r>
      <w:r>
        <w:rPr>
          <w:rFonts w:hint="default" w:ascii="Times New Roman" w:hAnsi="Times New Roman" w:eastAsia="方正仿宋简体" w:cs="Times New Roman"/>
          <w:color w:val="000000" w:themeColor="text1"/>
          <w:sz w:val="32"/>
          <w:szCs w:val="32"/>
        </w:rPr>
        <w:t>万元下达给你们</w:t>
      </w:r>
      <w:r>
        <w:rPr>
          <w:rFonts w:hint="eastAsia" w:ascii="Times New Roman" w:hAnsi="Times New Roman" w:eastAsia="方正仿宋简体" w:cs="Times New Roman"/>
          <w:color w:val="000000" w:themeColor="text1"/>
          <w:sz w:val="32"/>
          <w:szCs w:val="32"/>
          <w:lang w:eastAsia="zh-CN"/>
        </w:rPr>
        <w:t>（卫健局</w:t>
      </w:r>
      <w:r>
        <w:rPr>
          <w:rFonts w:hint="eastAsia" w:ascii="Times New Roman" w:hAnsi="Times New Roman" w:eastAsia="方正仿宋简体" w:cs="Times New Roman"/>
          <w:color w:val="000000" w:themeColor="text1"/>
          <w:sz w:val="32"/>
          <w:szCs w:val="32"/>
          <w:lang w:val="en-US" w:eastAsia="zh-CN"/>
        </w:rPr>
        <w:t>90.19万元，妇计中心</w:t>
      </w:r>
      <w:bookmarkStart w:id="0" w:name="_GoBack"/>
      <w:bookmarkEnd w:id="0"/>
      <w:r>
        <w:rPr>
          <w:rFonts w:hint="eastAsia" w:ascii="Times New Roman" w:hAnsi="Times New Roman" w:eastAsia="方正仿宋简体" w:cs="Times New Roman"/>
          <w:color w:val="000000" w:themeColor="text1"/>
          <w:sz w:val="32"/>
          <w:szCs w:val="32"/>
          <w:lang w:val="en-US" w:eastAsia="zh-CN"/>
        </w:rPr>
        <w:t>5.83万元</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lang w:eastAsia="zh-CN"/>
        </w:rPr>
        <w:t>其中</w:t>
      </w:r>
      <w:r>
        <w:rPr>
          <w:rFonts w:hint="eastAsia" w:ascii="Times New Roman" w:hAnsi="Times New Roman" w:eastAsia="方正仿宋简体" w:cs="Times New Roman"/>
          <w:color w:val="000000" w:themeColor="text1"/>
          <w:sz w:val="32"/>
          <w:szCs w:val="32"/>
          <w:lang w:eastAsia="zh-CN"/>
        </w:rPr>
        <w:t>省级</w:t>
      </w:r>
      <w:r>
        <w:rPr>
          <w:rFonts w:hint="eastAsia" w:ascii="Times New Roman" w:hAnsi="Times New Roman" w:eastAsia="方正仿宋简体" w:cs="Times New Roman"/>
          <w:color w:val="000000" w:themeColor="text1"/>
          <w:sz w:val="32"/>
          <w:szCs w:val="32"/>
          <w:lang w:val="en-US" w:eastAsia="zh-CN"/>
        </w:rPr>
        <w:t>64.61万元（</w:t>
      </w:r>
      <w:r>
        <w:rPr>
          <w:rFonts w:hint="eastAsia" w:ascii="Times New Roman" w:hAnsi="Times New Roman" w:eastAsia="方正仿宋简体" w:cs="Times New Roman"/>
          <w:color w:val="000000" w:themeColor="text1"/>
          <w:sz w:val="32"/>
          <w:szCs w:val="32"/>
          <w:lang w:eastAsia="zh-CN"/>
        </w:rPr>
        <w:t>公卫</w:t>
      </w:r>
      <w:r>
        <w:rPr>
          <w:rFonts w:hint="default" w:ascii="Times New Roman" w:hAnsi="Times New Roman" w:eastAsia="方正仿宋简体" w:cs="Times New Roman"/>
          <w:color w:val="000000" w:themeColor="text1"/>
          <w:sz w:val="32"/>
          <w:szCs w:val="32"/>
          <w:lang w:eastAsia="zh-CN"/>
        </w:rPr>
        <w:t>补助</w:t>
      </w:r>
      <w:r>
        <w:rPr>
          <w:rFonts w:hint="eastAsia" w:ascii="Times New Roman" w:hAnsi="Times New Roman" w:eastAsia="方正仿宋简体" w:cs="Times New Roman"/>
          <w:color w:val="000000" w:themeColor="text1"/>
          <w:sz w:val="32"/>
          <w:szCs w:val="32"/>
          <w:lang w:val="en-US" w:eastAsia="zh-CN"/>
        </w:rPr>
        <w:t>20.46</w:t>
      </w:r>
      <w:r>
        <w:rPr>
          <w:rFonts w:hint="default" w:ascii="Times New Roman" w:hAnsi="Times New Roman" w:eastAsia="方正仿宋简体" w:cs="Times New Roman"/>
          <w:color w:val="000000" w:themeColor="text1"/>
          <w:sz w:val="32"/>
          <w:szCs w:val="32"/>
          <w:lang w:val="en-US" w:eastAsia="zh-CN"/>
        </w:rPr>
        <w:t>万元、</w:t>
      </w:r>
      <w:r>
        <w:rPr>
          <w:rFonts w:hint="eastAsia" w:ascii="Times New Roman" w:hAnsi="Times New Roman" w:eastAsia="方正仿宋简体" w:cs="Times New Roman"/>
          <w:color w:val="000000" w:themeColor="text1"/>
          <w:sz w:val="32"/>
          <w:szCs w:val="32"/>
          <w:lang w:val="en-US" w:eastAsia="zh-CN"/>
        </w:rPr>
        <w:t>“独生子女家庭”奖学金</w:t>
      </w:r>
      <w:r>
        <w:rPr>
          <w:rFonts w:hint="default" w:ascii="Times New Roman" w:hAnsi="Times New Roman" w:eastAsia="方正仿宋简体" w:cs="Times New Roman"/>
          <w:color w:val="000000" w:themeColor="text1"/>
          <w:sz w:val="32"/>
          <w:szCs w:val="32"/>
          <w:lang w:val="en-US" w:eastAsia="zh-CN"/>
        </w:rPr>
        <w:t>3</w:t>
      </w:r>
      <w:r>
        <w:rPr>
          <w:rFonts w:hint="eastAsia" w:ascii="Times New Roman" w:hAnsi="Times New Roman" w:eastAsia="方正仿宋简体" w:cs="Times New Roman"/>
          <w:color w:val="000000" w:themeColor="text1"/>
          <w:sz w:val="32"/>
          <w:szCs w:val="32"/>
          <w:lang w:val="en-US" w:eastAsia="zh-CN"/>
        </w:rPr>
        <w:t>7.15</w:t>
      </w:r>
      <w:r>
        <w:rPr>
          <w:rFonts w:hint="default" w:ascii="Times New Roman" w:hAnsi="Times New Roman" w:eastAsia="方正仿宋简体" w:cs="Times New Roman"/>
          <w:color w:val="000000" w:themeColor="text1"/>
          <w:sz w:val="32"/>
          <w:szCs w:val="32"/>
          <w:lang w:val="en-US" w:eastAsia="zh-CN"/>
        </w:rPr>
        <w:t>万元</w:t>
      </w:r>
      <w:r>
        <w:rPr>
          <w:rFonts w:hint="eastAsia" w:ascii="Times New Roman" w:hAnsi="Times New Roman" w:eastAsia="方正仿宋简体" w:cs="Times New Roman"/>
          <w:color w:val="000000" w:themeColor="text1"/>
          <w:sz w:val="32"/>
          <w:szCs w:val="32"/>
          <w:lang w:val="en-US" w:eastAsia="zh-CN"/>
        </w:rPr>
        <w:t>、老年病科和医养结合项目7万元</w:t>
      </w:r>
      <w:r>
        <w:rPr>
          <w:rFonts w:hint="default" w:ascii="Times New Roman" w:hAnsi="Times New Roman" w:eastAsia="方正仿宋简体" w:cs="Times New Roman"/>
          <w:color w:val="000000" w:themeColor="text1"/>
          <w:sz w:val="32"/>
          <w:szCs w:val="32"/>
          <w:lang w:eastAsia="zh-CN"/>
        </w:rPr>
        <w:t>）</w:t>
      </w:r>
      <w:r>
        <w:rPr>
          <w:rFonts w:hint="eastAsia" w:ascii="Times New Roman" w:hAnsi="Times New Roman" w:eastAsia="方正仿宋简体" w:cs="Times New Roman"/>
          <w:color w:val="000000" w:themeColor="text1"/>
          <w:sz w:val="32"/>
          <w:szCs w:val="32"/>
          <w:lang w:eastAsia="zh-CN"/>
        </w:rPr>
        <w:t>，州级</w:t>
      </w:r>
      <w:r>
        <w:rPr>
          <w:rFonts w:hint="eastAsia" w:ascii="Times New Roman" w:hAnsi="Times New Roman" w:eastAsia="方正仿宋简体" w:cs="Times New Roman"/>
          <w:color w:val="000000" w:themeColor="text1"/>
          <w:sz w:val="32"/>
          <w:szCs w:val="32"/>
          <w:lang w:val="en-US" w:eastAsia="zh-CN"/>
        </w:rPr>
        <w:t>31.41</w:t>
      </w:r>
      <w:r>
        <w:rPr>
          <w:rFonts w:hint="default" w:ascii="Times New Roman" w:hAnsi="Times New Roman" w:eastAsia="方正仿宋简体" w:cs="Times New Roman"/>
          <w:color w:val="000000" w:themeColor="text1"/>
          <w:sz w:val="32"/>
          <w:szCs w:val="32"/>
          <w:lang w:val="en-US" w:eastAsia="zh-CN"/>
        </w:rPr>
        <w:t>万元</w:t>
      </w:r>
      <w:r>
        <w:rPr>
          <w:rFonts w:hint="eastAsia" w:ascii="Times New Roman" w:hAnsi="Times New Roman" w:eastAsia="方正仿宋简体" w:cs="Times New Roman"/>
          <w:color w:val="000000" w:themeColor="text1"/>
          <w:sz w:val="32"/>
          <w:szCs w:val="32"/>
          <w:lang w:val="en-US" w:eastAsia="zh-CN"/>
        </w:rPr>
        <w:t>。</w:t>
      </w:r>
      <w:r>
        <w:rPr>
          <w:rFonts w:hint="default" w:ascii="Times New Roman" w:hAnsi="Times New Roman" w:eastAsia="方正仿宋简体" w:cs="Times New Roman"/>
          <w:color w:val="000000" w:themeColor="text1"/>
          <w:sz w:val="32"/>
          <w:szCs w:val="32"/>
        </w:rPr>
        <w:t>现将有关事项通知如下：</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lang w:eastAsia="zh-CN"/>
        </w:rPr>
        <w:t>一、</w:t>
      </w:r>
      <w:r>
        <w:rPr>
          <w:rFonts w:hint="default" w:ascii="Times New Roman" w:hAnsi="Times New Roman" w:eastAsia="方正仿宋简体" w:cs="Times New Roman"/>
          <w:color w:val="000000" w:themeColor="text1"/>
          <w:sz w:val="32"/>
          <w:szCs w:val="32"/>
        </w:rPr>
        <w:t>201</w:t>
      </w:r>
      <w:r>
        <w:rPr>
          <w:rFonts w:hint="default" w:ascii="Times New Roman" w:hAnsi="Times New Roman" w:eastAsia="方正仿宋简体" w:cs="Times New Roman"/>
          <w:color w:val="000000" w:themeColor="text1"/>
          <w:sz w:val="32"/>
          <w:szCs w:val="32"/>
          <w:lang w:val="en-US" w:eastAsia="zh-CN"/>
        </w:rPr>
        <w:t>9</w:t>
      </w:r>
      <w:r>
        <w:rPr>
          <w:rFonts w:hint="default" w:ascii="Times New Roman" w:hAnsi="Times New Roman" w:eastAsia="方正仿宋简体" w:cs="Times New Roman"/>
          <w:color w:val="000000" w:themeColor="text1"/>
          <w:sz w:val="32"/>
          <w:szCs w:val="32"/>
        </w:rPr>
        <w:t>年</w:t>
      </w:r>
      <w:r>
        <w:rPr>
          <w:rFonts w:hint="eastAsia" w:ascii="Times New Roman" w:hAnsi="Times New Roman" w:eastAsia="方正仿宋简体" w:cs="Times New Roman"/>
          <w:color w:val="000000" w:themeColor="text1"/>
          <w:sz w:val="32"/>
          <w:szCs w:val="32"/>
          <w:lang w:eastAsia="zh-CN"/>
        </w:rPr>
        <w:t>我县人口</w:t>
      </w:r>
      <w:r>
        <w:rPr>
          <w:rFonts w:hint="eastAsia" w:ascii="Times New Roman" w:hAnsi="Times New Roman" w:eastAsia="方正仿宋简体" w:cs="Times New Roman"/>
          <w:color w:val="000000" w:themeColor="text1"/>
          <w:sz w:val="32"/>
          <w:szCs w:val="32"/>
          <w:lang w:val="en-US" w:eastAsia="zh-CN"/>
        </w:rPr>
        <w:t>20.49万人，</w:t>
      </w:r>
      <w:r>
        <w:rPr>
          <w:rFonts w:hint="default" w:ascii="Times New Roman" w:hAnsi="Times New Roman" w:eastAsia="方正仿宋简体" w:cs="Times New Roman"/>
          <w:color w:val="000000" w:themeColor="text1"/>
          <w:sz w:val="32"/>
          <w:szCs w:val="32"/>
          <w:lang w:eastAsia="zh-CN"/>
        </w:rPr>
        <w:t>国家</w:t>
      </w:r>
      <w:r>
        <w:rPr>
          <w:rFonts w:hint="default" w:ascii="Times New Roman" w:hAnsi="Times New Roman" w:eastAsia="方正仿宋简体" w:cs="Times New Roman"/>
          <w:color w:val="000000" w:themeColor="text1"/>
          <w:sz w:val="32"/>
          <w:szCs w:val="32"/>
        </w:rPr>
        <w:t>基本公共卫生服务</w:t>
      </w:r>
      <w:r>
        <w:rPr>
          <w:rFonts w:hint="default" w:ascii="Times New Roman" w:hAnsi="Times New Roman" w:eastAsia="方正仿宋简体" w:cs="Times New Roman"/>
          <w:color w:val="000000" w:themeColor="text1"/>
          <w:sz w:val="32"/>
          <w:szCs w:val="32"/>
          <w:lang w:eastAsia="zh-CN"/>
        </w:rPr>
        <w:t>项目人均补助标准提高到</w:t>
      </w:r>
      <w:r>
        <w:rPr>
          <w:rFonts w:hint="default" w:ascii="Times New Roman" w:hAnsi="Times New Roman" w:eastAsia="方正仿宋简体" w:cs="Times New Roman"/>
          <w:color w:val="000000" w:themeColor="text1"/>
          <w:sz w:val="32"/>
          <w:szCs w:val="32"/>
          <w:lang w:val="en-US" w:eastAsia="zh-CN"/>
        </w:rPr>
        <w:t>69元，中央补助55.2元、省级补助9.66元、州县配套4.14元，按《楚雄州人民政府关于印发重点项目州县市财政配套投资管理办法（试行）的通知》（楚政通〔2013〕62号）规定，州级补助我县50%。</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default" w:ascii="Times New Roman" w:hAnsi="Times New Roman" w:eastAsia="方正仿宋简体" w:cs="Times New Roman"/>
          <w:color w:val="000000" w:themeColor="text1"/>
          <w:sz w:val="32"/>
          <w:szCs w:val="32"/>
          <w:lang w:eastAsia="zh-CN"/>
        </w:rPr>
        <w:t>请严格按照《云南省财政厅</w:t>
      </w:r>
      <w:r>
        <w:rPr>
          <w:rFonts w:hint="default" w:ascii="Times New Roman" w:hAnsi="Times New Roman" w:eastAsia="方正仿宋简体" w:cs="Times New Roman"/>
          <w:color w:val="000000" w:themeColor="text1"/>
          <w:sz w:val="32"/>
          <w:szCs w:val="32"/>
          <w:lang w:val="en-US" w:eastAsia="zh-CN"/>
        </w:rPr>
        <w:t xml:space="preserve"> 云南省卫生计生委关于修订云南省基本公共卫生服务项目补助资金管理与核算办法的通知</w:t>
      </w:r>
      <w:r>
        <w:rPr>
          <w:rFonts w:hint="default" w:ascii="Times New Roman" w:hAnsi="Times New Roman" w:eastAsia="方正仿宋简体" w:cs="Times New Roman"/>
          <w:color w:val="000000" w:themeColor="text1"/>
          <w:sz w:val="32"/>
          <w:szCs w:val="32"/>
          <w:lang w:eastAsia="zh-CN"/>
        </w:rPr>
        <w:t>》（云财社</w:t>
      </w:r>
      <w:r>
        <w:rPr>
          <w:rFonts w:hint="default" w:ascii="Times New Roman" w:hAnsi="Times New Roman" w:eastAsia="方正仿宋简体" w:cs="Times New Roman"/>
          <w:color w:val="000000" w:themeColor="text1"/>
          <w:sz w:val="32"/>
          <w:szCs w:val="32"/>
          <w:lang w:val="en-US" w:eastAsia="zh-CN"/>
        </w:rPr>
        <w:t>〔2018〕26号</w:t>
      </w:r>
      <w:r>
        <w:rPr>
          <w:rFonts w:hint="default" w:ascii="Times New Roman" w:hAnsi="Times New Roman" w:eastAsia="方正仿宋简体" w:cs="Times New Roman"/>
          <w:color w:val="000000" w:themeColor="text1"/>
          <w:sz w:val="32"/>
          <w:szCs w:val="32"/>
          <w:lang w:eastAsia="zh-CN"/>
        </w:rPr>
        <w:t>）和《云南省卫生厅</w:t>
      </w:r>
      <w:r>
        <w:rPr>
          <w:rFonts w:hint="default" w:ascii="Times New Roman" w:hAnsi="Times New Roman" w:eastAsia="方正仿宋简体" w:cs="Times New Roman"/>
          <w:color w:val="000000" w:themeColor="text1"/>
          <w:sz w:val="32"/>
          <w:szCs w:val="32"/>
          <w:lang w:val="en-US" w:eastAsia="zh-CN"/>
        </w:rPr>
        <w:t xml:space="preserve">  云南省财政厅关于印发云南省加强基本公共卫生服务项目管理指导意见（试行）</w:t>
      </w:r>
      <w:r>
        <w:rPr>
          <w:rFonts w:hint="default" w:ascii="Times New Roman" w:hAnsi="Times New Roman" w:eastAsia="方正仿宋简体" w:cs="Times New Roman"/>
          <w:color w:val="000000" w:themeColor="text1"/>
          <w:sz w:val="32"/>
          <w:szCs w:val="32"/>
          <w:lang w:eastAsia="zh-CN"/>
        </w:rPr>
        <w:t>》要求，及时</w:t>
      </w:r>
      <w:r>
        <w:rPr>
          <w:rFonts w:hint="default" w:ascii="Times New Roman" w:hAnsi="Times New Roman" w:eastAsia="方正仿宋简体" w:cs="Times New Roman"/>
          <w:color w:val="000000" w:themeColor="text1"/>
          <w:sz w:val="32"/>
          <w:szCs w:val="32"/>
          <w:lang w:val="en-US" w:eastAsia="zh-CN"/>
        </w:rPr>
        <w:t>将资金下达到项目单位，并认真组织实施项目，加强资金管理，充分发挥资金使用效益。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default" w:ascii="Times New Roman" w:hAnsi="Times New Roman" w:eastAsia="方正仿宋简体" w:cs="Times New Roman"/>
          <w:color w:val="000000" w:themeColor="text1"/>
          <w:sz w:val="32"/>
          <w:szCs w:val="32"/>
          <w:lang w:val="en-US" w:eastAsia="zh-CN"/>
        </w:rPr>
        <w:t>各项目执行单位要进一步加强预算绩效管理，切实提高财政资金使用效益，要按照《省对下专项转移支付区域绩效目标表》确定的指标值，保质保量完成各项目标任务。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val="en-US" w:eastAsia="zh-CN"/>
        </w:rPr>
        <w:t>县级补助资金县财政局另文下达。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40" w:firstLineChars="200"/>
        <w:jc w:val="both"/>
        <w:textAlignment w:val="auto"/>
        <w:outlineLvl w:val="9"/>
        <w:rPr>
          <w:rFonts w:hint="eastAsia"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资金列入201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年政府收支分类科目“2100408.基本公共卫生服务 ”</w:t>
      </w:r>
      <w:r>
        <w:rPr>
          <w:rFonts w:hint="eastAsia" w:ascii="方正仿宋简体" w:hAnsi="方正仿宋简体" w:eastAsia="方正仿宋简体" w:cs="方正仿宋简体"/>
          <w:sz w:val="32"/>
          <w:szCs w:val="32"/>
          <w:lang w:val="zh-CN"/>
        </w:rPr>
        <w:t xml:space="preserve"> 公共财政预算支出和</w:t>
      </w:r>
      <w:r>
        <w:rPr>
          <w:rFonts w:hint="eastAsia" w:ascii="方正仿宋简体" w:hAnsi="方正仿宋简体" w:eastAsia="方正仿宋简体" w:cs="方正仿宋简体"/>
          <w:sz w:val="32"/>
          <w:szCs w:val="32"/>
          <w:lang w:eastAsia="zh-CN"/>
        </w:rPr>
        <w:t>政府支出经济分类科目“</w:t>
      </w:r>
      <w:r>
        <w:rPr>
          <w:rFonts w:hint="eastAsia" w:ascii="方正仿宋简体" w:hAnsi="方正仿宋简体" w:eastAsia="方正仿宋简体" w:cs="方正仿宋简体"/>
          <w:sz w:val="32"/>
          <w:szCs w:val="32"/>
          <w:lang w:val="en-US" w:eastAsia="zh-CN"/>
        </w:rPr>
        <w:t>50502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商品和服务支出”</w:t>
      </w:r>
      <w:r>
        <w:rPr>
          <w:rFonts w:hint="eastAsia" w:ascii="方正仿宋简体" w:hAnsi="方正仿宋简体" w:eastAsia="方正仿宋简体" w:cs="方正仿宋简体"/>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jc w:val="both"/>
        <w:textAlignment w:val="auto"/>
        <w:outlineLvl w:val="9"/>
        <w:rPr>
          <w:rFonts w:hint="eastAsia"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i w:val="0"/>
          <w:color w:val="000000"/>
          <w:kern w:val="0"/>
          <w:sz w:val="28"/>
          <w:szCs w:val="28"/>
          <w:u w:val="none"/>
          <w:lang w:val="en-US" w:eastAsia="zh-CN" w:bidi="ar"/>
        </w:rPr>
        <w:t>附件：1、2019年基本公共卫生服务项目省州结算资金分配表</w:t>
      </w:r>
    </w:p>
    <w:p>
      <w:pPr>
        <w:keepNext w:val="0"/>
        <w:keepLines w:val="0"/>
        <w:pageBreakBefore w:val="0"/>
        <w:widowControl w:val="0"/>
        <w:kinsoku/>
        <w:wordWrap/>
        <w:overflowPunct/>
        <w:topLinePunct w:val="0"/>
        <w:autoSpaceDE/>
        <w:autoSpaceDN/>
        <w:bidi w:val="0"/>
        <w:adjustRightInd w:val="0"/>
        <w:snapToGrid w:val="0"/>
        <w:spacing w:line="660" w:lineRule="exact"/>
        <w:ind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lang w:val="en-US" w:eastAsia="zh-CN"/>
        </w:rPr>
        <w:t xml:space="preserve"> </w:t>
      </w:r>
      <w:r>
        <w:rPr>
          <w:rFonts w:hint="eastAsia" w:ascii="方正仿宋简体" w:hAnsi="方正仿宋简体" w:eastAsia="方正仿宋简体" w:cs="方正仿宋简体"/>
          <w:color w:val="000000" w:themeColor="text1"/>
          <w:sz w:val="32"/>
          <w:szCs w:val="32"/>
        </w:rPr>
        <w:t>2.</w:t>
      </w:r>
      <w:r>
        <w:rPr>
          <w:rFonts w:hint="eastAsia" w:ascii="方正仿宋简体" w:hAnsi="方正仿宋简体" w:eastAsia="方正仿宋简体" w:cs="方正仿宋简体"/>
          <w:color w:val="000000" w:themeColor="text1"/>
          <w:sz w:val="32"/>
          <w:szCs w:val="32"/>
          <w:lang w:val="en-US" w:eastAsia="zh-CN"/>
        </w:rPr>
        <w:t xml:space="preserve"> </w:t>
      </w:r>
      <w:r>
        <w:rPr>
          <w:rFonts w:hint="eastAsia" w:ascii="方正仿宋简体" w:hAnsi="方正仿宋简体" w:eastAsia="方正仿宋简体" w:cs="方正仿宋简体"/>
          <w:sz w:val="32"/>
          <w:szCs w:val="32"/>
        </w:rPr>
        <w:t>2019年国家基本公共卫生服务项目</w:t>
      </w:r>
      <w:r>
        <w:rPr>
          <w:rFonts w:hint="eastAsia" w:ascii="方正仿宋简体" w:hAnsi="方正仿宋简体" w:eastAsia="方正仿宋简体" w:cs="方正仿宋简体"/>
          <w:sz w:val="32"/>
          <w:szCs w:val="32"/>
          <w:lang w:eastAsia="zh-CN"/>
        </w:rPr>
        <w:t>中央</w:t>
      </w:r>
      <w:r>
        <w:rPr>
          <w:rFonts w:hint="eastAsia" w:ascii="方正仿宋简体" w:hAnsi="方正仿宋简体" w:eastAsia="方正仿宋简体" w:cs="方正仿宋简体"/>
          <w:sz w:val="32"/>
          <w:szCs w:val="32"/>
        </w:rPr>
        <w:t>省州</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结算补助资金</w:t>
      </w:r>
      <w:r>
        <w:rPr>
          <w:rFonts w:hint="eastAsia" w:ascii="方正仿宋简体" w:hAnsi="方正仿宋简体" w:eastAsia="方正仿宋简体" w:cs="方正仿宋简体"/>
          <w:sz w:val="32"/>
          <w:szCs w:val="32"/>
          <w:lang w:eastAsia="zh-CN"/>
        </w:rPr>
        <w:t>清算</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val="0"/>
        <w:snapToGrid w:val="0"/>
        <w:spacing w:line="578" w:lineRule="exact"/>
        <w:ind w:left="1916" w:leftChars="760" w:right="0" w:rightChars="0" w:hanging="320" w:hangingChars="100"/>
        <w:jc w:val="both"/>
        <w:textAlignment w:val="auto"/>
        <w:outlineLvl w:val="9"/>
        <w:rPr>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960" w:firstLineChars="300"/>
        <w:jc w:val="both"/>
        <w:textAlignment w:val="auto"/>
        <w:outlineLvl w:val="9"/>
        <w:rPr>
          <w:rFonts w:hint="eastAsia"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lang w:val="en-US" w:eastAsia="zh-CN"/>
        </w:rPr>
        <w:t xml:space="preserve">3. </w:t>
      </w:r>
      <w:r>
        <w:rPr>
          <w:rFonts w:hint="eastAsia" w:ascii="方正仿宋简体" w:hAnsi="方正仿宋简体" w:eastAsia="方正仿宋简体" w:cs="方正仿宋简体"/>
          <w:color w:val="000000" w:themeColor="text1"/>
          <w:sz w:val="32"/>
          <w:szCs w:val="32"/>
        </w:rPr>
        <w:t>2019年基本公共卫生服务</w:t>
      </w:r>
      <w:r>
        <w:rPr>
          <w:rFonts w:hint="eastAsia" w:ascii="方正仿宋简体" w:hAnsi="方正仿宋简体" w:eastAsia="方正仿宋简体" w:cs="方正仿宋简体"/>
          <w:color w:val="000000" w:themeColor="text1"/>
          <w:sz w:val="32"/>
          <w:szCs w:val="32"/>
          <w:lang w:eastAsia="zh-CN"/>
        </w:rPr>
        <w:t>项目省州</w:t>
      </w:r>
      <w:r>
        <w:rPr>
          <w:rFonts w:hint="eastAsia" w:ascii="方正仿宋简体" w:hAnsi="方正仿宋简体" w:eastAsia="方正仿宋简体" w:cs="方正仿宋简体"/>
          <w:color w:val="000000" w:themeColor="text1"/>
          <w:sz w:val="32"/>
          <w:szCs w:val="32"/>
        </w:rPr>
        <w:t>结算补助资金绩效目标表</w:t>
      </w:r>
    </w:p>
    <w:p>
      <w:pPr>
        <w:keepNext w:val="0"/>
        <w:keepLines w:val="0"/>
        <w:pageBreakBefore w:val="0"/>
        <w:widowControl w:val="0"/>
        <w:kinsoku/>
        <w:wordWrap/>
        <w:overflowPunct/>
        <w:topLinePunct w:val="0"/>
        <w:autoSpaceDE/>
        <w:autoSpaceDN/>
        <w:bidi w:val="0"/>
        <w:adjustRightInd w:val="0"/>
        <w:snapToGrid w:val="0"/>
        <w:spacing w:line="578" w:lineRule="exact"/>
        <w:ind w:left="1504" w:leftChars="564" w:right="0" w:rightChars="0" w:hanging="320" w:hangingChars="100"/>
        <w:jc w:val="both"/>
        <w:textAlignment w:val="auto"/>
        <w:outlineLvl w:val="9"/>
        <w:rPr>
          <w:rFonts w:hint="eastAsia"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drawing>
          <wp:anchor distT="0" distB="0" distL="114300" distR="114300" simplePos="0" relativeHeight="251806720" behindDoc="1" locked="0" layoutInCell="1" allowOverlap="1">
            <wp:simplePos x="0" y="0"/>
            <wp:positionH relativeFrom="column">
              <wp:posOffset>3378200</wp:posOffset>
            </wp:positionH>
            <wp:positionV relativeFrom="paragraph">
              <wp:posOffset>360680</wp:posOffset>
            </wp:positionV>
            <wp:extent cx="1642110" cy="1608455"/>
            <wp:effectExtent l="0" t="0" r="15240" b="10795"/>
            <wp:wrapNone/>
            <wp:docPr id="1" name="图片 1" descr="县卫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县卫健局"/>
                    <pic:cNvPicPr>
                      <a:picLocks noChangeAspect="1"/>
                    </pic:cNvPicPr>
                  </pic:nvPicPr>
                  <pic:blipFill>
                    <a:blip r:embed="rId6"/>
                    <a:stretch>
                      <a:fillRect/>
                    </a:stretch>
                  </pic:blipFill>
                  <pic:spPr>
                    <a:xfrm>
                      <a:off x="0" y="0"/>
                      <a:ext cx="1642110" cy="1608455"/>
                    </a:xfrm>
                    <a:prstGeom prst="rect">
                      <a:avLst/>
                    </a:prstGeom>
                  </pic:spPr>
                </pic:pic>
              </a:graphicData>
            </a:graphic>
          </wp:anchor>
        </w:drawing>
      </w:r>
    </w:p>
    <w:p>
      <w:pPr>
        <w:keepNext w:val="0"/>
        <w:keepLines w:val="0"/>
        <w:pageBreakBefore w:val="0"/>
        <w:widowControl w:val="0"/>
        <w:tabs>
          <w:tab w:val="left" w:pos="800"/>
        </w:tabs>
        <w:kinsoku/>
        <w:wordWrap/>
        <w:overflowPunct/>
        <w:topLinePunct w:val="0"/>
        <w:autoSpaceDE/>
        <w:autoSpaceDN/>
        <w:bidi w:val="0"/>
        <w:adjustRightInd w:val="0"/>
        <w:snapToGrid w:val="0"/>
        <w:spacing w:line="240" w:lineRule="auto"/>
        <w:ind w:right="0" w:rightChars="0"/>
        <w:jc w:val="both"/>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2240" w:firstLineChars="7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t>姚安县财政局</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姚安县卫生健康局</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tabs>
          <w:tab w:val="left" w:pos="6946"/>
          <w:tab w:val="left" w:pos="7088"/>
        </w:tabs>
        <w:kinsoku/>
        <w:wordWrap/>
        <w:overflowPunct/>
        <w:topLinePunct w:val="0"/>
        <w:autoSpaceDE/>
        <w:autoSpaceDN/>
        <w:bidi w:val="0"/>
        <w:adjustRightInd w:val="0"/>
        <w:snapToGrid w:val="0"/>
        <w:spacing w:line="578" w:lineRule="exact"/>
        <w:ind w:right="0" w:rightChars="0" w:firstLine="5120" w:firstLineChars="1600"/>
        <w:jc w:val="both"/>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sz w:val="32"/>
          <w:szCs w:val="32"/>
        </w:rPr>
        <w:t>2019年</w:t>
      </w:r>
      <w:r>
        <w:rPr>
          <w:rFonts w:hint="eastAsia"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11</w:t>
      </w:r>
      <w:r>
        <w:rPr>
          <w:rFonts w:hint="default" w:ascii="Times New Roman" w:hAnsi="Times New Roman" w:eastAsia="方正仿宋简体" w:cs="Times New Roman"/>
          <w:color w:val="auto"/>
          <w:sz w:val="32"/>
          <w:szCs w:val="32"/>
        </w:rPr>
        <w:t>日</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firstLine="0" w:firstLineChars="0"/>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280" w:firstLineChars="4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Times New Roman" w:hAnsi="Times New Roman" w:eastAsia="方正仿宋简体" w:cs="Times New Roman"/>
          <w:color w:val="000000" w:themeColor="text1"/>
          <w:kern w:val="0"/>
          <w:sz w:val="32"/>
          <w:szCs w:val="32"/>
          <w:lang w:eastAsia="zh-CN"/>
        </w:rPr>
      </w:pPr>
      <w:r>
        <w:rPr>
          <w:rFonts w:hint="eastAsia" w:ascii="Times New Roman" w:hAnsi="Times New Roman" w:eastAsia="方正仿宋简体" w:cs="Times New Roman"/>
          <w:color w:val="000000" w:themeColor="text1"/>
          <w:kern w:val="0"/>
          <w:sz w:val="32"/>
          <w:szCs w:val="32"/>
          <w:lang w:eastAsia="zh-CN"/>
        </w:rPr>
        <w:tab/>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Times New Roman" w:hAnsi="Times New Roman" w:eastAsia="方正仿宋简体" w:cs="Times New Roman"/>
          <w:color w:val="000000" w:themeColor="text1"/>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Times New Roman" w:hAnsi="Times New Roman" w:eastAsia="方正仿宋简体" w:cs="Times New Roman"/>
          <w:color w:val="000000" w:themeColor="text1"/>
          <w:kern w:val="0"/>
          <w:sz w:val="32"/>
          <w:szCs w:val="32"/>
          <w:lang w:eastAsia="zh-CN"/>
        </w:rPr>
      </w:pPr>
    </w:p>
    <w:p>
      <w:pPr>
        <w:spacing w:line="579" w:lineRule="exact"/>
        <w:ind w:firstLine="280" w:firstLineChars="100"/>
        <w:rPr>
          <w:rFonts w:hint="eastAsia" w:ascii="Times New Roman" w:hAnsi="Times New Roman" w:eastAsia="仿宋"/>
          <w:color w:val="000000" w:themeColor="text1"/>
          <w:sz w:val="28"/>
          <w:szCs w:val="28"/>
          <w:lang w:eastAsia="zh-CN"/>
        </w:rPr>
      </w:pPr>
      <w:r>
        <w:rPr>
          <w:rFonts w:ascii="Times New Roman" w:hAnsi="Times New Roman" w:eastAsia="仿宋"/>
          <w:color w:val="000000" w:themeColor="text1"/>
          <w:sz w:val="28"/>
          <w:szCs w:val="28"/>
        </w:rPr>
        <w:pict>
          <v:line id="直线 7" o:spid="_x0000_s1030" o:spt="20" style="position:absolute;left:0pt;margin-left:0pt;margin-top:2pt;height:0pt;width:441pt;z-index:251908096;mso-width-relative:page;mso-height-relative:page;" coordsize="21600,21600" o:gfxdata="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AN9/0wAAAAQBAAAPAAAAAAAAAAEAIAAAACIAAABk&#10;cnMvZG93bnJldi54bWxQSwECFAAUAAAACACHTuJA/nTSKtIBAACdAwAADgAAAAAAAAABACAAAAAi&#10;AQAAZHJzL2Uyb0RvYy54bWxQSwUGAAAAAAYABgBZAQAAZgUAAAAA&#10;">
            <v:path arrowok="t"/>
            <v:fill focussize="0,0"/>
            <v:stroke weight="1.25pt"/>
            <v:imagedata o:title=""/>
            <o:lock v:ext="edit"/>
          </v:line>
        </w:pict>
      </w:r>
      <w:r>
        <w:rPr>
          <w:rFonts w:ascii="Times New Roman" w:hAnsi="Times New Roman" w:eastAsia="仿宋"/>
          <w:color w:val="000000" w:themeColor="text1"/>
          <w:sz w:val="28"/>
          <w:szCs w:val="28"/>
        </w:rPr>
        <w:t>抄送：</w:t>
      </w:r>
      <w:r>
        <w:rPr>
          <w:rFonts w:hint="eastAsia" w:ascii="Times New Roman" w:hAnsi="Times New Roman" w:eastAsia="仿宋"/>
          <w:color w:val="000000" w:themeColor="text1"/>
          <w:sz w:val="28"/>
          <w:szCs w:val="28"/>
          <w:lang w:eastAsia="zh-CN"/>
        </w:rPr>
        <w:t>县财政局预算股、国库股。</w:t>
      </w:r>
    </w:p>
    <w:p>
      <w:pPr>
        <w:spacing w:line="579" w:lineRule="exact"/>
        <w:ind w:left="1121" w:leftChars="134" w:hanging="840" w:hangingChars="3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pict>
          <v:line id="直线 8" o:spid="_x0000_s1031" o:spt="20" style="position:absolute;left:0pt;margin-left:1pt;margin-top:2.35pt;height:0pt;width:441pt;z-index:251909120;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ascii="Times New Roman" w:hAnsi="Times New Roman" w:eastAsia="仿宋"/>
          <w:color w:val="000000" w:themeColor="text1"/>
          <w:sz w:val="28"/>
          <w:szCs w:val="28"/>
        </w:rPr>
        <w:t>姚安县</w:t>
      </w:r>
      <w:r>
        <w:rPr>
          <w:rFonts w:hint="eastAsia" w:ascii="Times New Roman" w:hAnsi="Times New Roman" w:eastAsia="仿宋"/>
          <w:color w:val="000000" w:themeColor="text1"/>
          <w:sz w:val="28"/>
          <w:szCs w:val="28"/>
        </w:rPr>
        <w:t>财政</w:t>
      </w:r>
      <w:r>
        <w:rPr>
          <w:rFonts w:ascii="Times New Roman" w:hAnsi="Times New Roman" w:eastAsia="仿宋"/>
          <w:color w:val="000000" w:themeColor="text1"/>
          <w:sz w:val="28"/>
          <w:szCs w:val="28"/>
        </w:rPr>
        <w:t xml:space="preserve">局办公室               </w:t>
      </w:r>
      <w:r>
        <w:rPr>
          <w:rFonts w:hint="eastAsia" w:ascii="Times New Roman" w:hAnsi="Times New Roman" w:eastAsia="仿宋"/>
          <w:color w:val="000000" w:themeColor="text1"/>
          <w:sz w:val="28"/>
          <w:szCs w:val="28"/>
        </w:rPr>
        <w:t xml:space="preserve">    </w:t>
      </w:r>
      <w:r>
        <w:rPr>
          <w:rFonts w:ascii="Times New Roman" w:hAnsi="Times New Roman" w:eastAsia="仿宋"/>
          <w:color w:val="000000" w:themeColor="text1"/>
          <w:sz w:val="28"/>
          <w:szCs w:val="28"/>
        </w:rPr>
        <w:t xml:space="preserve">  2019年</w:t>
      </w:r>
      <w:r>
        <w:rPr>
          <w:rFonts w:hint="eastAsia" w:ascii="Times New Roman" w:hAnsi="Times New Roman" w:eastAsia="仿宋"/>
          <w:color w:val="000000" w:themeColor="text1"/>
          <w:sz w:val="28"/>
          <w:szCs w:val="28"/>
          <w:lang w:val="en-US" w:eastAsia="zh-CN"/>
        </w:rPr>
        <w:t>12</w:t>
      </w:r>
      <w:r>
        <w:rPr>
          <w:rFonts w:ascii="Times New Roman" w:hAnsi="Times New Roman" w:eastAsia="仿宋"/>
          <w:color w:val="000000" w:themeColor="text1"/>
          <w:sz w:val="28"/>
          <w:szCs w:val="28"/>
        </w:rPr>
        <w:t>月</w:t>
      </w:r>
      <w:r>
        <w:rPr>
          <w:rFonts w:hint="eastAsia" w:ascii="Times New Roman" w:hAnsi="Times New Roman" w:eastAsia="仿宋"/>
          <w:color w:val="000000" w:themeColor="text1"/>
          <w:sz w:val="28"/>
          <w:szCs w:val="28"/>
          <w:lang w:val="en-US" w:eastAsia="zh-CN"/>
        </w:rPr>
        <w:t>11</w:t>
      </w:r>
      <w:r>
        <w:rPr>
          <w:rFonts w:ascii="Times New Roman" w:hAnsi="Times New Roman" w:eastAsia="仿宋"/>
          <w:color w:val="000000" w:themeColor="text1"/>
          <w:sz w:val="28"/>
          <w:szCs w:val="28"/>
        </w:rPr>
        <w:t>日印发</w:t>
      </w:r>
    </w:p>
    <w:p>
      <w:pPr>
        <w:spacing w:line="28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pict>
          <v:line id="直线 9" o:spid="_x0000_s1032" o:spt="20" style="position:absolute;left:0pt;margin-left:0.7pt;margin-top:0.95pt;height:0pt;width:441pt;z-index:251910144;mso-width-relative:page;mso-height-relative:page;" coordsize="21600,21600" o:gfxdata="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CFiXNMAAAAFAQAADwAAAAAAAAABACAAAAAiAAAA&#10;ZHJzL2Rvd25yZXYueG1sUEsBAhQAFAAAAAgAh07iQNh6fhzTAQAAnQMAAA4AAAAAAAAAAQAgAAAA&#10;IgEAAGRycy9lMm9Eb2MueG1sUEsFBgAAAAAGAAYAWQEAAGcFAAAAAA==&#10;">
            <v:path arrowok="t"/>
            <v:fill focussize="0,0"/>
            <v:stroke weight="1.25pt"/>
            <v:imagedata o:title=""/>
            <o:lock v:ext="edit"/>
          </v:line>
        </w:pict>
      </w:r>
    </w:p>
    <w:p>
      <w:pPr>
        <w:spacing w:line="280" w:lineRule="exact"/>
        <w:rPr>
          <w:rFonts w:hint="eastAsia" w:ascii="Times New Roman" w:hAnsi="Times New Roman" w:eastAsia="仿宋_GB2312"/>
          <w:color w:val="000000" w:themeColor="text1"/>
          <w:sz w:val="28"/>
          <w:szCs w:val="28"/>
          <w:lang w:val="en-US" w:eastAsia="zh-CN"/>
        </w:rPr>
      </w:pPr>
    </w:p>
    <w:tbl>
      <w:tblPr>
        <w:tblStyle w:val="6"/>
        <w:tblW w:w="9275" w:type="dxa"/>
        <w:tblInd w:w="0" w:type="dxa"/>
        <w:shd w:val="clear" w:color="auto" w:fill="auto"/>
        <w:tblLayout w:type="autofit"/>
        <w:tblCellMar>
          <w:top w:w="0" w:type="dxa"/>
          <w:left w:w="0" w:type="dxa"/>
          <w:bottom w:w="0" w:type="dxa"/>
          <w:right w:w="0" w:type="dxa"/>
        </w:tblCellMar>
      </w:tblPr>
      <w:tblGrid>
        <w:gridCol w:w="2650"/>
        <w:gridCol w:w="1200"/>
        <w:gridCol w:w="1675"/>
        <w:gridCol w:w="1275"/>
        <w:gridCol w:w="2475"/>
      </w:tblGrid>
      <w:tr>
        <w:tblPrEx>
          <w:shd w:val="clear" w:color="auto" w:fill="auto"/>
          <w:tblCellMar>
            <w:top w:w="0" w:type="dxa"/>
            <w:left w:w="0" w:type="dxa"/>
            <w:bottom w:w="0" w:type="dxa"/>
            <w:right w:w="0" w:type="dxa"/>
          </w:tblCellMar>
        </w:tblPrEx>
        <w:trPr>
          <w:trHeight w:val="375" w:hRule="atLeast"/>
        </w:trPr>
        <w:tc>
          <w:tcPr>
            <w:tcW w:w="927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tabs>
                <w:tab w:val="left" w:pos="2035"/>
              </w:tabs>
              <w:spacing w:before="0" w:beforeAutospacing="0" w:after="0" w:afterAutospacing="0"/>
              <w:ind w:left="0" w:right="0"/>
              <w:jc w:val="both"/>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附件1、2019年基本公共卫生服务项目省州结算资金分配表</w:t>
            </w:r>
          </w:p>
        </w:tc>
      </w:tr>
      <w:tr>
        <w:tblPrEx>
          <w:tblCellMar>
            <w:top w:w="0" w:type="dxa"/>
            <w:left w:w="0" w:type="dxa"/>
            <w:bottom w:w="0" w:type="dxa"/>
            <w:right w:w="0" w:type="dxa"/>
          </w:tblCellMar>
        </w:tblPrEx>
        <w:trPr>
          <w:trHeight w:val="544" w:hRule="atLeast"/>
        </w:trPr>
        <w:tc>
          <w:tcPr>
            <w:tcW w:w="9275" w:type="dxa"/>
            <w:gridSpan w:val="5"/>
            <w:tcBorders>
              <w:top w:val="nil"/>
              <w:left w:val="nil"/>
              <w:bottom w:val="single" w:color="auto" w:sz="8"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仿宋简体" w:hAnsi="方正仿宋简体" w:eastAsia="方正仿宋简体" w:cs="方正仿宋简体"/>
                <w:i w:val="0"/>
                <w:color w:val="000000"/>
                <w:sz w:val="32"/>
                <w:szCs w:val="32"/>
                <w:u w:val="none"/>
              </w:rPr>
            </w:pPr>
            <w:r>
              <w:rPr>
                <w:rFonts w:hint="eastAsia" w:ascii="方正仿宋简体" w:hAnsi="方正仿宋简体" w:eastAsia="方正仿宋简体" w:cs="方正仿宋简体"/>
                <w:i w:val="0"/>
                <w:color w:val="000000"/>
                <w:kern w:val="0"/>
                <w:sz w:val="32"/>
                <w:szCs w:val="32"/>
                <w:u w:val="none"/>
                <w:lang w:val="en-US" w:eastAsia="zh-CN" w:bidi="ar"/>
              </w:rPr>
              <w:t>单位：万元</w:t>
            </w:r>
          </w:p>
        </w:tc>
      </w:tr>
      <w:tr>
        <w:tblPrEx>
          <w:tblCellMar>
            <w:top w:w="0" w:type="dxa"/>
            <w:left w:w="0" w:type="dxa"/>
            <w:bottom w:w="0" w:type="dxa"/>
            <w:right w:w="0" w:type="dxa"/>
          </w:tblCellMar>
        </w:tblPrEx>
        <w:trPr>
          <w:trHeight w:val="375" w:hRule="atLeast"/>
        </w:trPr>
        <w:tc>
          <w:tcPr>
            <w:tcW w:w="2650" w:type="dxa"/>
            <w:tcBorders>
              <w:top w:val="nil"/>
              <w:left w:val="single" w:color="auto" w:sz="8" w:space="0"/>
              <w:bottom w:val="nil"/>
              <w:right w:val="single" w:color="auto" w:sz="8"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     单位</w:t>
            </w:r>
          </w:p>
        </w:tc>
        <w:tc>
          <w:tcPr>
            <w:tcW w:w="120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县卫健局</w:t>
            </w:r>
          </w:p>
        </w:tc>
        <w:tc>
          <w:tcPr>
            <w:tcW w:w="1675"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县妇计 中心</w:t>
            </w:r>
          </w:p>
        </w:tc>
        <w:tc>
          <w:tcPr>
            <w:tcW w:w="1275"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合计</w:t>
            </w:r>
          </w:p>
        </w:tc>
        <w:tc>
          <w:tcPr>
            <w:tcW w:w="2475"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90"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宋体" w:cs="Times New Roman"/>
                <w:i w:val="0"/>
                <w:color w:val="000000"/>
                <w:sz w:val="28"/>
                <w:szCs w:val="28"/>
                <w:u w:val="none"/>
              </w:rPr>
            </w:pPr>
          </w:p>
        </w:tc>
        <w:tc>
          <w:tcPr>
            <w:tcW w:w="120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8"/>
                <w:szCs w:val="28"/>
                <w:u w:val="none"/>
              </w:rPr>
            </w:pPr>
          </w:p>
        </w:tc>
        <w:tc>
          <w:tcPr>
            <w:tcW w:w="16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8"/>
                <w:szCs w:val="28"/>
                <w:u w:val="none"/>
              </w:rPr>
            </w:pPr>
          </w:p>
        </w:tc>
        <w:tc>
          <w:tcPr>
            <w:tcW w:w="12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8"/>
                <w:szCs w:val="28"/>
                <w:u w:val="none"/>
              </w:rPr>
            </w:pP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8"/>
                <w:szCs w:val="28"/>
                <w:u w:val="none"/>
              </w:rPr>
            </w:pPr>
          </w:p>
        </w:tc>
      </w:tr>
      <w:tr>
        <w:tblPrEx>
          <w:tblCellMar>
            <w:top w:w="0" w:type="dxa"/>
            <w:left w:w="0" w:type="dxa"/>
            <w:bottom w:w="0" w:type="dxa"/>
            <w:right w:w="0" w:type="dxa"/>
          </w:tblCellMar>
        </w:tblPrEx>
        <w:trPr>
          <w:trHeight w:val="64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r>
              <w:rPr>
                <w:rFonts w:hint="eastAsia" w:ascii="方正仿宋简体" w:hAnsi="方正仿宋简体" w:eastAsia="方正仿宋简体" w:cs="方正仿宋简体"/>
                <w:b/>
                <w:i w:val="0"/>
                <w:color w:val="000000"/>
                <w:kern w:val="0"/>
                <w:sz w:val="24"/>
                <w:szCs w:val="24"/>
                <w:u w:val="none"/>
                <w:lang w:val="en-US" w:eastAsia="zh-CN" w:bidi="ar"/>
              </w:rPr>
              <w:t>基本公卫</w:t>
            </w:r>
            <w:r>
              <w:rPr>
                <w:rFonts w:hint="default" w:ascii="Times New Roman" w:hAnsi="Times New Roman" w:eastAsia="宋体" w:cs="Times New Roman"/>
                <w:b/>
                <w:i w:val="0"/>
                <w:color w:val="000000"/>
                <w:kern w:val="0"/>
                <w:sz w:val="24"/>
                <w:szCs w:val="24"/>
                <w:u w:val="none"/>
                <w:lang w:val="en-US" w:eastAsia="zh-CN" w:bidi="ar"/>
              </w:rPr>
              <w:t>12</w:t>
            </w:r>
            <w:r>
              <w:rPr>
                <w:rFonts w:hint="eastAsia" w:ascii="方正仿宋简体" w:hAnsi="方正仿宋简体" w:eastAsia="方正仿宋简体" w:cs="方正仿宋简体"/>
                <w:b/>
                <w:i w:val="0"/>
                <w:color w:val="000000"/>
                <w:kern w:val="0"/>
                <w:sz w:val="24"/>
                <w:szCs w:val="24"/>
                <w:u w:val="none"/>
                <w:lang w:val="en-US" w:eastAsia="zh-CN" w:bidi="ar"/>
              </w:rPr>
              <w:t>项</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26.27</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仿宋简体" w:hAnsi="方正仿宋简体" w:eastAsia="方正仿宋简体" w:cs="方正仿宋简体"/>
                <w:b/>
                <w:i w:val="0"/>
                <w:color w:val="000000"/>
                <w:sz w:val="24"/>
                <w:szCs w:val="24"/>
                <w:u w:val="none"/>
                <w:lang w:val="en-US"/>
              </w:rPr>
            </w:pPr>
            <w:r>
              <w:rPr>
                <w:rFonts w:hint="eastAsia" w:ascii="方正仿宋简体" w:hAnsi="方正仿宋简体" w:eastAsia="方正仿宋简体" w:cs="方正仿宋简体"/>
                <w:b/>
                <w:i w:val="0"/>
                <w:color w:val="000000"/>
                <w:kern w:val="0"/>
                <w:sz w:val="24"/>
                <w:szCs w:val="24"/>
                <w:u w:val="none"/>
                <w:lang w:val="en-US" w:eastAsia="zh-CN" w:bidi="ar"/>
              </w:rPr>
              <w:t>26.27</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469"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r>
              <w:rPr>
                <w:rFonts w:hint="eastAsia" w:ascii="方正仿宋简体" w:hAnsi="方正仿宋简体" w:eastAsia="方正仿宋简体" w:cs="方正仿宋简体"/>
                <w:b/>
                <w:i w:val="0"/>
                <w:color w:val="000000"/>
                <w:kern w:val="0"/>
                <w:sz w:val="24"/>
                <w:szCs w:val="24"/>
                <w:u w:val="none"/>
                <w:lang w:val="en-US" w:eastAsia="zh-CN" w:bidi="ar"/>
              </w:rPr>
              <w:t>妇幼卫生</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19.77</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5.83</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25.6</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48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2.1两癌筛查</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5.83</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5.83</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64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2.2增补叶酸</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w:t>
            </w:r>
          </w:p>
        </w:tc>
        <w:tc>
          <w:tcPr>
            <w:tcW w:w="2475"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资金留置县卫健局，到年底根据各单位完成的服务数量和质量结算至各单位。</w:t>
            </w:r>
          </w:p>
        </w:tc>
      </w:tr>
      <w:tr>
        <w:tblPrEx>
          <w:tblCellMar>
            <w:top w:w="0" w:type="dxa"/>
            <w:left w:w="0" w:type="dxa"/>
            <w:bottom w:w="0" w:type="dxa"/>
            <w:right w:w="0" w:type="dxa"/>
          </w:tblCellMar>
        </w:tblPrEx>
        <w:trPr>
          <w:trHeight w:val="71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2.3地中海贫血防控</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0.43</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0.43</w:t>
            </w: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510"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2.4新生儿筛查</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64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2.5营养改善</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67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2.6孕前优生健康检查</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67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2.7 4</w:t>
            </w:r>
            <w:r>
              <w:rPr>
                <w:rStyle w:val="17"/>
                <w:lang w:val="en-US" w:eastAsia="zh-CN" w:bidi="ar"/>
              </w:rPr>
              <w:t>－</w:t>
            </w:r>
            <w:r>
              <w:rPr>
                <w:rStyle w:val="18"/>
                <w:rFonts w:eastAsia="宋体"/>
                <w:lang w:val="en-US" w:eastAsia="zh-CN" w:bidi="ar"/>
              </w:rPr>
              <w:t>6</w:t>
            </w:r>
            <w:r>
              <w:rPr>
                <w:rStyle w:val="17"/>
                <w:lang w:val="en-US" w:eastAsia="zh-CN" w:bidi="ar"/>
              </w:rPr>
              <w:t>岁儿童视力检查</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0.24</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0.24</w:t>
            </w:r>
          </w:p>
        </w:tc>
        <w:tc>
          <w:tcPr>
            <w:tcW w:w="2475"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1095"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r>
              <w:rPr>
                <w:rFonts w:hint="eastAsia" w:ascii="方正仿宋简体" w:hAnsi="方正仿宋简体" w:eastAsia="方正仿宋简体" w:cs="方正仿宋简体"/>
                <w:b/>
                <w:i w:val="0"/>
                <w:color w:val="000000"/>
                <w:kern w:val="0"/>
                <w:sz w:val="24"/>
                <w:szCs w:val="24"/>
                <w:u w:val="none"/>
                <w:lang w:val="en-US" w:eastAsia="zh-CN" w:bidi="ar"/>
              </w:rPr>
              <w:t>计生事业</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37.15</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37.15</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“独生子女家庭”</w:t>
            </w:r>
            <w:r>
              <w:rPr>
                <w:rStyle w:val="18"/>
                <w:rFonts w:eastAsia="方正仿宋简体"/>
                <w:lang w:val="en-US" w:eastAsia="zh-CN" w:bidi="ar"/>
              </w:rPr>
              <w:t>奖</w:t>
            </w:r>
            <w:r>
              <w:rPr>
                <w:rStyle w:val="17"/>
                <w:lang w:val="en-US" w:eastAsia="zh-CN" w:bidi="ar"/>
              </w:rPr>
              <w:t>学</w:t>
            </w:r>
            <w:r>
              <w:rPr>
                <w:rStyle w:val="18"/>
                <w:rFonts w:eastAsia="方正仿宋简体"/>
                <w:lang w:val="en-US" w:eastAsia="zh-CN" w:bidi="ar"/>
              </w:rPr>
              <w:t>金，留置县卫健局。</w:t>
            </w:r>
          </w:p>
        </w:tc>
      </w:tr>
      <w:tr>
        <w:tblPrEx>
          <w:tblCellMar>
            <w:top w:w="0" w:type="dxa"/>
            <w:left w:w="0" w:type="dxa"/>
            <w:bottom w:w="0" w:type="dxa"/>
            <w:right w:w="0" w:type="dxa"/>
          </w:tblCellMar>
        </w:tblPrEx>
        <w:trPr>
          <w:trHeight w:val="874"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4. 老年病科和医养结合项目</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7</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7</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老年病科和医养结合项目资金</w:t>
            </w:r>
            <w:r>
              <w:rPr>
                <w:rStyle w:val="18"/>
                <w:rFonts w:eastAsia="方正仿宋简体"/>
                <w:lang w:val="en-US" w:eastAsia="zh-CN" w:bidi="ar"/>
              </w:rPr>
              <w:t>留置县卫健局</w:t>
            </w:r>
            <w:r>
              <w:rPr>
                <w:rStyle w:val="17"/>
                <w:lang w:val="en-US" w:eastAsia="zh-CN" w:bidi="ar"/>
              </w:rPr>
              <w:t>。</w:t>
            </w:r>
          </w:p>
        </w:tc>
      </w:tr>
      <w:tr>
        <w:tblPrEx>
          <w:tblCellMar>
            <w:top w:w="0" w:type="dxa"/>
            <w:left w:w="0" w:type="dxa"/>
            <w:bottom w:w="0" w:type="dxa"/>
            <w:right w:w="0" w:type="dxa"/>
          </w:tblCellMar>
        </w:tblPrEx>
        <w:trPr>
          <w:trHeight w:val="640" w:hRule="atLeast"/>
        </w:trPr>
        <w:tc>
          <w:tcPr>
            <w:tcW w:w="26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合计</w:t>
            </w:r>
          </w:p>
        </w:tc>
        <w:tc>
          <w:tcPr>
            <w:tcW w:w="120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90.19</w:t>
            </w:r>
          </w:p>
        </w:tc>
        <w:tc>
          <w:tcPr>
            <w:tcW w:w="16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5.83</w:t>
            </w:r>
          </w:p>
        </w:tc>
        <w:tc>
          <w:tcPr>
            <w:tcW w:w="12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96.02</w:t>
            </w:r>
          </w:p>
        </w:tc>
        <w:tc>
          <w:tcPr>
            <w:tcW w:w="247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w:t>
            </w:r>
          </w:p>
        </w:tc>
      </w:tr>
    </w:tbl>
    <w:p>
      <w:pPr>
        <w:pStyle w:val="2"/>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p>
    <w:p>
      <w:pPr>
        <w:adjustRightInd w:val="0"/>
        <w:snapToGrid w:val="0"/>
        <w:spacing w:line="578" w:lineRule="exact"/>
        <w:rPr>
          <w:rFonts w:hint="eastAsia"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附件</w:t>
      </w:r>
      <w:r>
        <w:rPr>
          <w:rFonts w:hint="eastAsia" w:ascii="Times New Roman" w:hAnsi="Times New Roman" w:eastAsia="方正黑体简体" w:cs="Times New Roman"/>
          <w:sz w:val="32"/>
          <w:szCs w:val="32"/>
          <w:lang w:val="en-US" w:eastAsia="zh-CN"/>
        </w:rPr>
        <w:t>2</w:t>
      </w:r>
    </w:p>
    <w:tbl>
      <w:tblPr>
        <w:tblStyle w:val="6"/>
        <w:tblW w:w="8700" w:type="dxa"/>
        <w:tblInd w:w="0" w:type="dxa"/>
        <w:shd w:val="clear" w:color="auto" w:fill="auto"/>
        <w:tblLayout w:type="autofit"/>
        <w:tblCellMar>
          <w:top w:w="0" w:type="dxa"/>
          <w:left w:w="0" w:type="dxa"/>
          <w:bottom w:w="0" w:type="dxa"/>
          <w:right w:w="0" w:type="dxa"/>
        </w:tblCellMar>
      </w:tblPr>
      <w:tblGrid>
        <w:gridCol w:w="1160"/>
        <w:gridCol w:w="1240"/>
        <w:gridCol w:w="960"/>
        <w:gridCol w:w="880"/>
        <w:gridCol w:w="1140"/>
        <w:gridCol w:w="1220"/>
        <w:gridCol w:w="980"/>
        <w:gridCol w:w="1120"/>
      </w:tblGrid>
      <w:tr>
        <w:tblPrEx>
          <w:shd w:val="clear" w:color="auto" w:fill="auto"/>
          <w:tblCellMar>
            <w:top w:w="0" w:type="dxa"/>
            <w:left w:w="0" w:type="dxa"/>
            <w:bottom w:w="0" w:type="dxa"/>
            <w:right w:w="0" w:type="dxa"/>
          </w:tblCellMar>
        </w:tblPrEx>
        <w:trPr>
          <w:trHeight w:val="57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2019年国家基本公共卫生服务项目资金来源情况表</w:t>
            </w:r>
          </w:p>
        </w:tc>
      </w:tr>
      <w:tr>
        <w:tblPrEx>
          <w:tblCellMar>
            <w:top w:w="0" w:type="dxa"/>
            <w:left w:w="0" w:type="dxa"/>
            <w:bottom w:w="0" w:type="dxa"/>
            <w:right w:w="0" w:type="dxa"/>
          </w:tblCellMar>
        </w:tblPrEx>
        <w:trPr>
          <w:trHeight w:val="420" w:hRule="atLeast"/>
        </w:trPr>
        <w:tc>
          <w:tcPr>
            <w:tcW w:w="0" w:type="auto"/>
            <w:gridSpan w:val="8"/>
            <w:tcBorders>
              <w:top w:val="nil"/>
              <w:left w:val="nil"/>
              <w:bottom w:val="single" w:color="auto" w:sz="8"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仿宋简体" w:hAnsi="方正仿宋简体" w:eastAsia="方正仿宋简体" w:cs="方正仿宋简体"/>
                <w:i w:val="0"/>
                <w:color w:val="000000"/>
                <w:sz w:val="32"/>
                <w:szCs w:val="32"/>
                <w:u w:val="none"/>
              </w:rPr>
            </w:pPr>
            <w:r>
              <w:rPr>
                <w:rFonts w:hint="eastAsia" w:ascii="方正仿宋简体" w:hAnsi="方正仿宋简体" w:eastAsia="方正仿宋简体" w:cs="方正仿宋简体"/>
                <w:i w:val="0"/>
                <w:color w:val="000000"/>
                <w:kern w:val="0"/>
                <w:sz w:val="32"/>
                <w:szCs w:val="32"/>
                <w:u w:val="none"/>
                <w:lang w:val="en-US" w:eastAsia="zh-CN" w:bidi="ar"/>
              </w:rPr>
              <w:t>（单位：万元）</w:t>
            </w:r>
          </w:p>
        </w:tc>
      </w:tr>
      <w:tr>
        <w:tblPrEx>
          <w:tblCellMar>
            <w:top w:w="0" w:type="dxa"/>
            <w:left w:w="0" w:type="dxa"/>
            <w:bottom w:w="0" w:type="dxa"/>
            <w:right w:w="0" w:type="dxa"/>
          </w:tblCellMar>
        </w:tblPrEx>
        <w:trPr>
          <w:trHeight w:val="315" w:hRule="atLeast"/>
        </w:trPr>
        <w:tc>
          <w:tcPr>
            <w:tcW w:w="116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项目资金</w:t>
            </w:r>
          </w:p>
        </w:tc>
        <w:tc>
          <w:tcPr>
            <w:tcW w:w="1240" w:type="dxa"/>
            <w:vMerge w:val="restart"/>
            <w:tcBorders>
              <w:top w:val="single" w:color="auto" w:sz="8" w:space="0"/>
              <w:left w:val="single" w:color="auto"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按标准和配套政策计算</w:t>
            </w:r>
          </w:p>
        </w:tc>
        <w:tc>
          <w:tcPr>
            <w:tcW w:w="96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体制上解拨付</w:t>
            </w:r>
          </w:p>
        </w:tc>
        <w:tc>
          <w:tcPr>
            <w:tcW w:w="88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体制下划拨付</w:t>
            </w:r>
          </w:p>
        </w:tc>
        <w:tc>
          <w:tcPr>
            <w:tcW w:w="114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实际应拨付</w:t>
            </w:r>
          </w:p>
        </w:tc>
        <w:tc>
          <w:tcPr>
            <w:tcW w:w="122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已下拨金额</w:t>
            </w:r>
          </w:p>
        </w:tc>
        <w:tc>
          <w:tcPr>
            <w:tcW w:w="98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本文下拨</w:t>
            </w:r>
          </w:p>
        </w:tc>
        <w:tc>
          <w:tcPr>
            <w:tcW w:w="1120" w:type="dxa"/>
            <w:vMerge w:val="restart"/>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应结算金额</w:t>
            </w:r>
          </w:p>
        </w:tc>
      </w:tr>
      <w:tr>
        <w:tblPrEx>
          <w:tblCellMar>
            <w:top w:w="0" w:type="dxa"/>
            <w:left w:w="0" w:type="dxa"/>
            <w:bottom w:w="0" w:type="dxa"/>
            <w:right w:w="0" w:type="dxa"/>
          </w:tblCellMar>
        </w:tblPrEx>
        <w:trPr>
          <w:trHeight w:val="645" w:hRule="atLeast"/>
        </w:trPr>
        <w:tc>
          <w:tcPr>
            <w:tcW w:w="116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1240" w:type="dxa"/>
            <w:vMerge w:val="continue"/>
            <w:tcBorders>
              <w:top w:val="single" w:color="auto" w:sz="8" w:space="0"/>
              <w:left w:val="single" w:color="auto"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96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88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114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122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98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c>
          <w:tcPr>
            <w:tcW w:w="1120" w:type="dxa"/>
            <w:vMerge w:val="continue"/>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645" w:hRule="atLeast"/>
        </w:trPr>
        <w:tc>
          <w:tcPr>
            <w:tcW w:w="116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w:t>
            </w:r>
          </w:p>
        </w:tc>
        <w:tc>
          <w:tcPr>
            <w:tcW w:w="1240" w:type="dxa"/>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1131.05</w:t>
            </w:r>
          </w:p>
        </w:tc>
        <w:tc>
          <w:tcPr>
            <w:tcW w:w="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8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1131.05</w:t>
            </w:r>
          </w:p>
        </w:tc>
        <w:tc>
          <w:tcPr>
            <w:tcW w:w="12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1132.74</w:t>
            </w:r>
          </w:p>
        </w:tc>
        <w:tc>
          <w:tcPr>
            <w:tcW w:w="9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1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-1.69</w:t>
            </w:r>
          </w:p>
        </w:tc>
      </w:tr>
      <w:tr>
        <w:tblPrEx>
          <w:tblCellMar>
            <w:top w:w="0" w:type="dxa"/>
            <w:left w:w="0" w:type="dxa"/>
            <w:bottom w:w="0" w:type="dxa"/>
            <w:right w:w="0" w:type="dxa"/>
          </w:tblCellMar>
        </w:tblPrEx>
        <w:trPr>
          <w:trHeight w:val="645" w:hRule="atLeast"/>
        </w:trPr>
        <w:tc>
          <w:tcPr>
            <w:tcW w:w="116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w:t>
            </w:r>
          </w:p>
        </w:tc>
        <w:tc>
          <w:tcPr>
            <w:tcW w:w="1240" w:type="dxa"/>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197.93</w:t>
            </w:r>
          </w:p>
        </w:tc>
        <w:tc>
          <w:tcPr>
            <w:tcW w:w="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8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151.93</w:t>
            </w:r>
          </w:p>
        </w:tc>
        <w:tc>
          <w:tcPr>
            <w:tcW w:w="12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9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64.61</w:t>
            </w:r>
          </w:p>
        </w:tc>
        <w:tc>
          <w:tcPr>
            <w:tcW w:w="11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-22.68</w:t>
            </w:r>
          </w:p>
        </w:tc>
      </w:tr>
      <w:tr>
        <w:tblPrEx>
          <w:tblCellMar>
            <w:top w:w="0" w:type="dxa"/>
            <w:left w:w="0" w:type="dxa"/>
            <w:bottom w:w="0" w:type="dxa"/>
            <w:right w:w="0" w:type="dxa"/>
          </w:tblCellMar>
        </w:tblPrEx>
        <w:trPr>
          <w:trHeight w:val="960" w:hRule="atLeast"/>
        </w:trPr>
        <w:tc>
          <w:tcPr>
            <w:tcW w:w="116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州级</w:t>
            </w:r>
          </w:p>
        </w:tc>
        <w:tc>
          <w:tcPr>
            <w:tcW w:w="1240" w:type="dxa"/>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42.41</w:t>
            </w:r>
          </w:p>
        </w:tc>
        <w:tc>
          <w:tcPr>
            <w:tcW w:w="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8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65.41</w:t>
            </w:r>
          </w:p>
        </w:tc>
        <w:tc>
          <w:tcPr>
            <w:tcW w:w="12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9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31.41</w:t>
            </w:r>
          </w:p>
        </w:tc>
        <w:tc>
          <w:tcPr>
            <w:tcW w:w="11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r>
      <w:tr>
        <w:tblPrEx>
          <w:tblCellMar>
            <w:top w:w="0" w:type="dxa"/>
            <w:left w:w="0" w:type="dxa"/>
            <w:bottom w:w="0" w:type="dxa"/>
            <w:right w:w="0" w:type="dxa"/>
          </w:tblCellMar>
        </w:tblPrEx>
        <w:trPr>
          <w:trHeight w:val="960" w:hRule="atLeast"/>
        </w:trPr>
        <w:tc>
          <w:tcPr>
            <w:tcW w:w="116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240" w:type="dxa"/>
            <w:tcBorders>
              <w:top w:val="single" w:color="auto"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42.41</w:t>
            </w:r>
          </w:p>
        </w:tc>
        <w:tc>
          <w:tcPr>
            <w:tcW w:w="960" w:type="dxa"/>
            <w:tcBorders>
              <w:top w:val="nil"/>
              <w:left w:val="nil"/>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880" w:type="dxa"/>
            <w:tcBorders>
              <w:top w:val="nil"/>
              <w:left w:val="nil"/>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65.41</w:t>
            </w:r>
          </w:p>
        </w:tc>
        <w:tc>
          <w:tcPr>
            <w:tcW w:w="12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9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p>
        </w:tc>
        <w:tc>
          <w:tcPr>
            <w:tcW w:w="11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9.41</w:t>
            </w:r>
          </w:p>
        </w:tc>
      </w:tr>
      <w:tr>
        <w:tblPrEx>
          <w:tblCellMar>
            <w:top w:w="0" w:type="dxa"/>
            <w:left w:w="0" w:type="dxa"/>
            <w:bottom w:w="0" w:type="dxa"/>
            <w:right w:w="0" w:type="dxa"/>
          </w:tblCellMar>
        </w:tblPrEx>
        <w:trPr>
          <w:trHeight w:val="1095" w:hRule="atLeast"/>
        </w:trPr>
        <w:tc>
          <w:tcPr>
            <w:tcW w:w="1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合</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计</w:t>
            </w:r>
          </w:p>
        </w:tc>
        <w:tc>
          <w:tcPr>
            <w:tcW w:w="12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1413.8</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46</w:t>
            </w:r>
          </w:p>
        </w:tc>
        <w:tc>
          <w:tcPr>
            <w:tcW w:w="8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—46</w:t>
            </w:r>
          </w:p>
        </w:tc>
        <w:tc>
          <w:tcPr>
            <w:tcW w:w="11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1413.8</w:t>
            </w:r>
          </w:p>
        </w:tc>
        <w:tc>
          <w:tcPr>
            <w:tcW w:w="12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1332.74</w:t>
            </w:r>
          </w:p>
        </w:tc>
        <w:tc>
          <w:tcPr>
            <w:tcW w:w="98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96.02</w:t>
            </w:r>
          </w:p>
        </w:tc>
        <w:tc>
          <w:tcPr>
            <w:tcW w:w="11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-14.96</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28"/>
          <w:szCs w:val="28"/>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2019年基本公共卫生服务</w:t>
      </w:r>
      <w:r>
        <w:rPr>
          <w:rFonts w:hint="eastAsia" w:ascii="方正小标宋简体" w:hAnsi="方正小标宋简体" w:eastAsia="方正小标宋简体" w:cs="方正小标宋简体"/>
          <w:color w:val="000000" w:themeColor="text1"/>
          <w:sz w:val="44"/>
          <w:szCs w:val="44"/>
          <w:lang w:eastAsia="zh-CN"/>
        </w:rPr>
        <w:t>项目省州</w:t>
      </w:r>
      <w:r>
        <w:rPr>
          <w:rFonts w:hint="eastAsia" w:ascii="方正小标宋简体" w:hAnsi="方正小标宋简体" w:eastAsia="方正小标宋简体" w:cs="方正小标宋简体"/>
          <w:color w:val="000000" w:themeColor="text1"/>
          <w:sz w:val="44"/>
          <w:szCs w:val="44"/>
        </w:rPr>
        <w:t>结算</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44"/>
          <w:szCs w:val="44"/>
        </w:rPr>
        <w:t>补助资金绩效目标表</w:t>
      </w:r>
    </w:p>
    <w:tbl>
      <w:tblPr>
        <w:tblStyle w:val="6"/>
        <w:tblW w:w="8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4"/>
        <w:gridCol w:w="1167"/>
        <w:gridCol w:w="1245"/>
        <w:gridCol w:w="424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0" w:hRule="atLeast"/>
        </w:trPr>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年度目标</w:t>
            </w:r>
          </w:p>
        </w:tc>
        <w:tc>
          <w:tcPr>
            <w:tcW w:w="807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top"/>
              <w:rPr>
                <w:rFonts w:hint="eastAsia" w:ascii="方正楷体简体" w:hAnsi="方正楷体简体" w:eastAsia="方正楷体简体" w:cs="方正楷体简体"/>
                <w:i w:val="0"/>
                <w:color w:val="000000" w:themeColor="text1"/>
                <w:kern w:val="0"/>
                <w:sz w:val="22"/>
                <w:szCs w:val="22"/>
                <w:u w:val="none"/>
                <w:lang w:val="en-US" w:eastAsia="zh-CN" w:bidi="ar"/>
              </w:rPr>
            </w:pPr>
            <w:r>
              <w:rPr>
                <w:rFonts w:hint="eastAsia" w:ascii="方正楷体简体" w:hAnsi="方正楷体简体" w:eastAsia="方正楷体简体" w:cs="方正楷体简体"/>
                <w:i w:val="0"/>
                <w:color w:val="000000" w:themeColor="text1"/>
                <w:kern w:val="0"/>
                <w:sz w:val="22"/>
                <w:szCs w:val="22"/>
                <w:u w:val="none"/>
                <w:lang w:val="en-US" w:eastAsia="zh-CN" w:bidi="ar"/>
              </w:rPr>
              <w:t>目标1：2019年，确保基本公共卫生服务各项任务完成，贫困地区农村妇女“两癌”检查目标人群覆盖率达45%以上，免费孕前优生健康检查目标人群覆盖率达80%以上，农村妇女增补叶酸服用率达到90%以上，营养包目标人群覆盖率达到80%以上，4-6岁儿童视力检查人群覆盖率达到90%以上，地中海贫血筛查任务完成率、地中海贫血基因检测率达到80%以上。</w:t>
            </w:r>
          </w:p>
          <w:p>
            <w:pPr>
              <w:keepNext w:val="0"/>
              <w:keepLines w:val="0"/>
              <w:widowControl/>
              <w:suppressLineNumbers w:val="0"/>
              <w:spacing w:before="0" w:beforeAutospacing="0" w:after="0" w:afterAutospacing="0"/>
              <w:ind w:left="0" w:right="0"/>
              <w:jc w:val="left"/>
              <w:textAlignment w:val="top"/>
              <w:rPr>
                <w:rFonts w:hint="eastAsia" w:ascii="方正楷体简体" w:hAnsi="方正楷体简体" w:eastAsia="方正楷体简体" w:cs="方正楷体简体"/>
                <w:i w:val="0"/>
                <w:color w:val="000000" w:themeColor="text1"/>
                <w:kern w:val="0"/>
                <w:sz w:val="22"/>
                <w:szCs w:val="22"/>
                <w:u w:val="none"/>
                <w:lang w:val="en-US" w:eastAsia="zh-CN" w:bidi="ar"/>
              </w:rPr>
            </w:pPr>
            <w:r>
              <w:rPr>
                <w:rFonts w:hint="eastAsia" w:ascii="方正楷体简体" w:hAnsi="方正楷体简体" w:eastAsia="方正楷体简体" w:cs="方正楷体简体"/>
                <w:i w:val="0"/>
                <w:color w:val="000000" w:themeColor="text1"/>
                <w:kern w:val="0"/>
                <w:sz w:val="22"/>
                <w:szCs w:val="22"/>
                <w:u w:val="none"/>
                <w:lang w:val="en-US" w:eastAsia="zh-CN" w:bidi="ar"/>
              </w:rPr>
              <w:t>目标2：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p>
            <w:pPr>
              <w:keepNext w:val="0"/>
              <w:keepLines w:val="0"/>
              <w:widowControl/>
              <w:suppressLineNumbers w:val="0"/>
              <w:spacing w:before="0" w:beforeAutospacing="0" w:after="0" w:afterAutospacing="0"/>
              <w:ind w:left="0" w:right="0"/>
              <w:jc w:val="left"/>
              <w:textAlignment w:val="top"/>
              <w:rPr>
                <w:rFonts w:hint="eastAsia" w:ascii="方正楷体简体" w:hAnsi="方正楷体简体" w:eastAsia="方正楷体简体" w:cs="方正楷体简体"/>
                <w:i w:val="0"/>
                <w:color w:val="000000" w:themeColor="text1"/>
                <w:kern w:val="0"/>
                <w:sz w:val="22"/>
                <w:szCs w:val="22"/>
                <w:u w:val="none"/>
                <w:lang w:val="en-US" w:eastAsia="zh-CN" w:bidi="ar"/>
              </w:rPr>
            </w:pPr>
            <w:r>
              <w:rPr>
                <w:rFonts w:hint="eastAsia" w:ascii="方正楷体简体" w:hAnsi="方正楷体简体" w:eastAsia="方正楷体简体" w:cs="方正楷体简体"/>
                <w:i w:val="0"/>
                <w:color w:val="000000" w:themeColor="text1"/>
                <w:kern w:val="0"/>
                <w:sz w:val="22"/>
                <w:szCs w:val="22"/>
                <w:u w:val="none"/>
                <w:lang w:val="en-US" w:eastAsia="zh-CN" w:bidi="ar"/>
              </w:rPr>
              <w:t>目标3：对应享受奖励与扶助（包括“奖励扶助制度”、“特别扶助制度”、“一次性抚慰金”、“一次性奖励金”、奖学金、城乡居民基本医疗保险个人参保费用资助、“少生快富工程”）政策的人员，全部进行资格审定，并建立完善基本的信息档案，做到及时足额发放奖励与扶助资金。</w:t>
            </w:r>
          </w:p>
          <w:p>
            <w:pPr>
              <w:keepNext w:val="0"/>
              <w:keepLines w:val="0"/>
              <w:widowControl/>
              <w:suppressLineNumbers w:val="0"/>
              <w:spacing w:before="0" w:beforeAutospacing="0" w:after="0" w:afterAutospacing="0"/>
              <w:ind w:left="0" w:right="0"/>
              <w:jc w:val="left"/>
              <w:textAlignment w:val="top"/>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2"/>
                <w:szCs w:val="22"/>
                <w:u w:val="none"/>
                <w:lang w:val="en-US" w:eastAsia="zh-CN" w:bidi="ar"/>
              </w:rPr>
              <w:t xml:space="preserve">目标4:二级综合性医院（含中医院）设老年病科比例达30%，护理型养老床位占养老机构床位总数不低于25%，推进医养结合项目健康发展。    </w:t>
            </w:r>
            <w:r>
              <w:rPr>
                <w:rFonts w:hint="eastAsia" w:ascii="方正楷体简体" w:hAnsi="方正楷体简体" w:eastAsia="方正楷体简体" w:cs="方正楷体简体"/>
                <w:i w:val="0"/>
                <w:color w:val="000000" w:themeColor="text1"/>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lang w:eastAsia="zh-CN"/>
              </w:rPr>
            </w:pPr>
            <w:r>
              <w:rPr>
                <w:rFonts w:hint="eastAsia" w:ascii="方正楷体简体" w:hAnsi="方正楷体简体" w:eastAsia="方正楷体简体" w:cs="方正楷体简体"/>
                <w:i w:val="0"/>
                <w:color w:val="000000" w:themeColor="text1"/>
                <w:sz w:val="20"/>
                <w:szCs w:val="20"/>
                <w:u w:val="none"/>
                <w:lang w:eastAsia="zh-CN"/>
              </w:rPr>
              <w:t>绩效目标</w:t>
            </w:r>
          </w:p>
        </w:tc>
        <w:tc>
          <w:tcPr>
            <w:tcW w:w="11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一级指标</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二级指标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三级指标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居民电子健康档案建档率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适龄人群国家免疫规划疫苗接种率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0-6岁儿童健康管理率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孕产妇系统管理率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老年人健康管理率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高血压患者规范管理率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2型糖尿病患者规范管理率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老年人中医药健康管理率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儿童中医药健康管理服务目标人群覆盖率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指标1：贫困地区“两癌”检查目标人群覆盖率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指标2：免费孕前优生健康检查目标人群覆盖率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 xml:space="preserve">指标3：综合节育率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指标4：4-6岁儿童视力检查人群覆盖率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指标5：农村妇女增补叶酸服用率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指标6：营养包目标人群覆盖率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指标7：地中海贫血筛查任务完成率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指标8：地中海贫血基因检测率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指标9：遗传代谢性疾病筛查率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指标10：听力筛查率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对象档案建档率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按既定政策标准核定奖学金人数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lang w:eastAsia="zh-CN"/>
              </w:rPr>
            </w:pPr>
            <w:r>
              <w:rPr>
                <w:rFonts w:hint="eastAsia" w:ascii="方正楷体简体" w:hAnsi="方正楷体简体" w:eastAsia="方正楷体简体" w:cs="方正楷体简体"/>
                <w:i w:val="0"/>
                <w:color w:val="000000" w:themeColor="text1"/>
                <w:sz w:val="20"/>
                <w:szCs w:val="20"/>
                <w:u w:val="none"/>
                <w:lang w:eastAsia="zh-CN"/>
              </w:rPr>
              <w:t>成本指标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小学生奖学金发放标准</w:t>
            </w:r>
            <w:r>
              <w:rPr>
                <w:rFonts w:hint="default" w:ascii="Times New Roman" w:hAnsi="Times New Roman" w:eastAsia="方正仿宋简体" w:cs="Times New Roman"/>
                <w:sz w:val="30"/>
                <w:szCs w:val="30"/>
                <w:lang w:val="en-US" w:eastAsia="zh-CN"/>
              </w:rPr>
              <w:t xml:space="preserve">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160元/人/年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 xml:space="preserve">初中生生奖学金发放标准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 xml:space="preserve"> 260元/人/年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default" w:ascii="Times New Roman" w:hAnsi="Times New Roman" w:eastAsia="方正仿宋简体" w:cs="Times New Roman"/>
                <w:sz w:val="20"/>
                <w:szCs w:val="20"/>
                <w:lang w:val="en-US" w:eastAsia="zh-CN"/>
              </w:rPr>
              <w:t>质量指标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20"/>
                <w:szCs w:val="20"/>
                <w:lang w:val="en-US" w:eastAsia="zh-CN"/>
              </w:rPr>
            </w:pPr>
            <w:r>
              <w:rPr>
                <w:rFonts w:hint="default" w:ascii="Times New Roman" w:hAnsi="Times New Roman" w:eastAsia="方正仿宋简体" w:cs="Times New Roman"/>
                <w:sz w:val="20"/>
                <w:szCs w:val="20"/>
                <w:lang w:val="en-US" w:eastAsia="zh-CN"/>
              </w:rPr>
              <w:t xml:space="preserve">资格确认准确率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sz w:val="20"/>
                <w:szCs w:val="20"/>
                <w:lang w:val="en-US" w:eastAsia="zh-CN"/>
              </w:rPr>
            </w:pPr>
            <w:r>
              <w:rPr>
                <w:rFonts w:hint="default" w:ascii="Times New Roman" w:hAnsi="Times New Roman" w:eastAsia="方正仿宋简体" w:cs="Times New Roman"/>
                <w:sz w:val="20"/>
                <w:szCs w:val="20"/>
                <w:lang w:val="en-US" w:eastAsia="zh-CN"/>
              </w:rPr>
              <w:t>98%以上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楷体简体" w:cs="Times New Roman"/>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时效指标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default" w:ascii="Times New Roman" w:hAnsi="Times New Roman" w:eastAsia="方正楷体简体" w:cs="Times New Roman"/>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资金发放及时率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楷体简体" w:cs="Times New Roman"/>
                <w:i w:val="0"/>
                <w:color w:val="000000" w:themeColor="text1"/>
                <w:kern w:val="0"/>
                <w:sz w:val="20"/>
                <w:szCs w:val="20"/>
                <w:u w:val="none"/>
                <w:lang w:val="en-US" w:eastAsia="zh-CN" w:bidi="ar"/>
              </w:rPr>
            </w:pPr>
            <w:r>
              <w:rPr>
                <w:rFonts w:hint="default" w:ascii="Times New Roman" w:hAnsi="Times New Roman" w:eastAsia="方正楷体简体" w:cs="Times New Roman"/>
                <w:i w:val="0"/>
                <w:color w:val="000000" w:themeColor="text1"/>
                <w:kern w:val="0"/>
                <w:sz w:val="20"/>
                <w:szCs w:val="20"/>
                <w:u w:val="none"/>
                <w:lang w:val="en-US" w:eastAsia="zh-CN" w:bidi="ar"/>
              </w:rPr>
              <w:t>要求2018年12月底以前完成奖励与扶助资金的发放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效益指标</w:t>
            </w:r>
          </w:p>
        </w:tc>
        <w:tc>
          <w:tcPr>
            <w:tcW w:w="12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社会效益指标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基本公共卫生服务水平</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符合申报条件对象覆盖率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 xml:space="preserve">目标人群政策知晓率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可持续影响指标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居民健康水平提高</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公共卫生均等化水平提高</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default" w:ascii="Times New Roman" w:hAnsi="Times New Roman" w:eastAsia="方正仿宋简体" w:cs="Times New Roman"/>
                <w:sz w:val="20"/>
                <w:szCs w:val="20"/>
                <w:lang w:val="en-US" w:eastAsia="zh-CN"/>
              </w:rPr>
              <w:t>奖励对象满意度</w:t>
            </w:r>
            <w:r>
              <w:rPr>
                <w:rFonts w:hint="eastAsia" w:ascii="Times New Roman" w:hAnsi="Times New Roman" w:eastAsia="方正仿宋简体" w:cs="Times New Roman"/>
                <w:sz w:val="20"/>
                <w:szCs w:val="20"/>
                <w:lang w:val="en-US" w:eastAsia="zh-CN"/>
              </w:rPr>
              <w:t xml:space="preserve">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Times New Roman" w:hAnsi="Times New Roman" w:eastAsia="方正仿宋简体" w:cs="Times New Roman"/>
                <w:sz w:val="20"/>
                <w:szCs w:val="20"/>
                <w:lang w:val="en-US" w:eastAsia="zh-CN"/>
              </w:rPr>
              <w:t xml:space="preserve"> </w:t>
            </w:r>
            <w:r>
              <w:rPr>
                <w:rFonts w:hint="default" w:ascii="Times New Roman" w:hAnsi="Times New Roman" w:eastAsia="方正仿宋简体" w:cs="Times New Roman"/>
                <w:sz w:val="20"/>
                <w:szCs w:val="20"/>
                <w:lang w:val="en-US" w:eastAsia="zh-CN"/>
              </w:rPr>
              <w:t>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服务对象综合知晓率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逐步提高</w:t>
            </w:r>
          </w:p>
        </w:tc>
      </w:tr>
    </w:tbl>
    <w:p>
      <w:pPr>
        <w:spacing w:line="280" w:lineRule="exact"/>
        <w:rPr>
          <w:rFonts w:ascii="Times New Roman" w:hAnsi="Times New Roman" w:eastAsia="方正仿宋简体"/>
          <w:color w:val="000000" w:themeColor="text1"/>
          <w:sz w:val="32"/>
          <w:szCs w:val="32"/>
        </w:rPr>
      </w:pPr>
    </w:p>
    <w:sectPr>
      <w:headerReference r:id="rId3" w:type="default"/>
      <w:footerReference r:id="rId4" w:type="default"/>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4"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A1CFD"/>
    <w:multiLevelType w:val="singleLevel"/>
    <w:tmpl w:val="5DEA1CF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320CA1"/>
    <w:rsid w:val="003330E9"/>
    <w:rsid w:val="003342D9"/>
    <w:rsid w:val="00380F0D"/>
    <w:rsid w:val="003856B1"/>
    <w:rsid w:val="00387CAB"/>
    <w:rsid w:val="003A3809"/>
    <w:rsid w:val="003B760A"/>
    <w:rsid w:val="003D01C1"/>
    <w:rsid w:val="003D61F5"/>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1CC6048"/>
    <w:rsid w:val="022415A4"/>
    <w:rsid w:val="022D24F4"/>
    <w:rsid w:val="0270420D"/>
    <w:rsid w:val="02870339"/>
    <w:rsid w:val="02CC0A2B"/>
    <w:rsid w:val="03200C52"/>
    <w:rsid w:val="03352D5F"/>
    <w:rsid w:val="03494177"/>
    <w:rsid w:val="03F855FF"/>
    <w:rsid w:val="040B2D68"/>
    <w:rsid w:val="04294109"/>
    <w:rsid w:val="049D2439"/>
    <w:rsid w:val="053A6086"/>
    <w:rsid w:val="05EE53B7"/>
    <w:rsid w:val="062B081A"/>
    <w:rsid w:val="062C68DD"/>
    <w:rsid w:val="06364F0A"/>
    <w:rsid w:val="06766594"/>
    <w:rsid w:val="06DD7690"/>
    <w:rsid w:val="07114222"/>
    <w:rsid w:val="0728720A"/>
    <w:rsid w:val="0755328A"/>
    <w:rsid w:val="078C04F1"/>
    <w:rsid w:val="07CA2D84"/>
    <w:rsid w:val="0889721A"/>
    <w:rsid w:val="091F0DB7"/>
    <w:rsid w:val="0987040B"/>
    <w:rsid w:val="099D1ADC"/>
    <w:rsid w:val="09CC1488"/>
    <w:rsid w:val="0A2F7757"/>
    <w:rsid w:val="0B4B3391"/>
    <w:rsid w:val="0B5742DC"/>
    <w:rsid w:val="0B7B0C2D"/>
    <w:rsid w:val="0B7C4D34"/>
    <w:rsid w:val="0D286A54"/>
    <w:rsid w:val="0D6C4178"/>
    <w:rsid w:val="0E2318DA"/>
    <w:rsid w:val="0E762C23"/>
    <w:rsid w:val="0F394D57"/>
    <w:rsid w:val="0F671623"/>
    <w:rsid w:val="0FAC5C36"/>
    <w:rsid w:val="10295C90"/>
    <w:rsid w:val="10660123"/>
    <w:rsid w:val="10711902"/>
    <w:rsid w:val="10A77EDC"/>
    <w:rsid w:val="11106741"/>
    <w:rsid w:val="11653851"/>
    <w:rsid w:val="11861EB2"/>
    <w:rsid w:val="13313692"/>
    <w:rsid w:val="135011C1"/>
    <w:rsid w:val="137F0677"/>
    <w:rsid w:val="14162835"/>
    <w:rsid w:val="142E7448"/>
    <w:rsid w:val="145E18DD"/>
    <w:rsid w:val="147525F6"/>
    <w:rsid w:val="148A2E0B"/>
    <w:rsid w:val="14B54BEE"/>
    <w:rsid w:val="14C12FCE"/>
    <w:rsid w:val="14C16C1D"/>
    <w:rsid w:val="15077CD6"/>
    <w:rsid w:val="15185644"/>
    <w:rsid w:val="158F47E5"/>
    <w:rsid w:val="159410A9"/>
    <w:rsid w:val="16357B33"/>
    <w:rsid w:val="16382501"/>
    <w:rsid w:val="164E7172"/>
    <w:rsid w:val="16667BE2"/>
    <w:rsid w:val="16F47E27"/>
    <w:rsid w:val="1728645A"/>
    <w:rsid w:val="17304EDC"/>
    <w:rsid w:val="174A703D"/>
    <w:rsid w:val="17532B2F"/>
    <w:rsid w:val="175B353E"/>
    <w:rsid w:val="17C37CF9"/>
    <w:rsid w:val="17C70FB7"/>
    <w:rsid w:val="190003AD"/>
    <w:rsid w:val="19633C6A"/>
    <w:rsid w:val="198E59E8"/>
    <w:rsid w:val="19AA0178"/>
    <w:rsid w:val="19E65377"/>
    <w:rsid w:val="1A057607"/>
    <w:rsid w:val="1A535A49"/>
    <w:rsid w:val="1A6133BF"/>
    <w:rsid w:val="1A7A37F8"/>
    <w:rsid w:val="1A9B13F1"/>
    <w:rsid w:val="1AC366DC"/>
    <w:rsid w:val="1B054BB0"/>
    <w:rsid w:val="1B27328A"/>
    <w:rsid w:val="1BA30D65"/>
    <w:rsid w:val="1BB52CB4"/>
    <w:rsid w:val="1C2E07C0"/>
    <w:rsid w:val="1C4768B1"/>
    <w:rsid w:val="1C824AC1"/>
    <w:rsid w:val="1CE3613F"/>
    <w:rsid w:val="1DE93BAC"/>
    <w:rsid w:val="1E115680"/>
    <w:rsid w:val="1E1353D0"/>
    <w:rsid w:val="1E954535"/>
    <w:rsid w:val="1F73105B"/>
    <w:rsid w:val="1F9A31F9"/>
    <w:rsid w:val="20685DC4"/>
    <w:rsid w:val="20827C57"/>
    <w:rsid w:val="208852CC"/>
    <w:rsid w:val="20A8319D"/>
    <w:rsid w:val="20F11623"/>
    <w:rsid w:val="20F63AA1"/>
    <w:rsid w:val="2127378A"/>
    <w:rsid w:val="213155F7"/>
    <w:rsid w:val="213C7A58"/>
    <w:rsid w:val="21CD684D"/>
    <w:rsid w:val="21D275C9"/>
    <w:rsid w:val="21D62B80"/>
    <w:rsid w:val="229A3753"/>
    <w:rsid w:val="22AF31C9"/>
    <w:rsid w:val="22D774B6"/>
    <w:rsid w:val="22E401A0"/>
    <w:rsid w:val="22EA5FBB"/>
    <w:rsid w:val="22ED742E"/>
    <w:rsid w:val="23A1504E"/>
    <w:rsid w:val="23C551A4"/>
    <w:rsid w:val="24722C7C"/>
    <w:rsid w:val="247F0741"/>
    <w:rsid w:val="24ED6A46"/>
    <w:rsid w:val="25230B35"/>
    <w:rsid w:val="2524302A"/>
    <w:rsid w:val="25940680"/>
    <w:rsid w:val="26007ADE"/>
    <w:rsid w:val="268E57B2"/>
    <w:rsid w:val="26B87371"/>
    <w:rsid w:val="26C71ACB"/>
    <w:rsid w:val="26E4239D"/>
    <w:rsid w:val="27A31E10"/>
    <w:rsid w:val="27AF36EE"/>
    <w:rsid w:val="27CD318A"/>
    <w:rsid w:val="27D6587E"/>
    <w:rsid w:val="28092F0F"/>
    <w:rsid w:val="28217455"/>
    <w:rsid w:val="288A06CD"/>
    <w:rsid w:val="28BA11DB"/>
    <w:rsid w:val="28FC4B66"/>
    <w:rsid w:val="2A197FE0"/>
    <w:rsid w:val="2A2A16F3"/>
    <w:rsid w:val="2A330620"/>
    <w:rsid w:val="2A437094"/>
    <w:rsid w:val="2A5C58FC"/>
    <w:rsid w:val="2ACD2616"/>
    <w:rsid w:val="2B027E1B"/>
    <w:rsid w:val="2B1D1749"/>
    <w:rsid w:val="2B8A6276"/>
    <w:rsid w:val="2BE0585A"/>
    <w:rsid w:val="2C860672"/>
    <w:rsid w:val="2CAC1869"/>
    <w:rsid w:val="2CF52A0D"/>
    <w:rsid w:val="2DFF0803"/>
    <w:rsid w:val="2E087593"/>
    <w:rsid w:val="2EEC54CF"/>
    <w:rsid w:val="2EF67193"/>
    <w:rsid w:val="2F4F740A"/>
    <w:rsid w:val="2F663D1F"/>
    <w:rsid w:val="2F820E3D"/>
    <w:rsid w:val="2FBE541E"/>
    <w:rsid w:val="30CE0B1F"/>
    <w:rsid w:val="30D3790D"/>
    <w:rsid w:val="31651CD2"/>
    <w:rsid w:val="3197169D"/>
    <w:rsid w:val="31CD63C8"/>
    <w:rsid w:val="32ED2E2F"/>
    <w:rsid w:val="336A67B8"/>
    <w:rsid w:val="338F19F3"/>
    <w:rsid w:val="33AF019F"/>
    <w:rsid w:val="33AF2511"/>
    <w:rsid w:val="33B81CB7"/>
    <w:rsid w:val="34830E4B"/>
    <w:rsid w:val="361A53E0"/>
    <w:rsid w:val="365C58E4"/>
    <w:rsid w:val="368722D0"/>
    <w:rsid w:val="375F460C"/>
    <w:rsid w:val="379A07AA"/>
    <w:rsid w:val="37D953A4"/>
    <w:rsid w:val="38B0551D"/>
    <w:rsid w:val="38F140B7"/>
    <w:rsid w:val="390659AE"/>
    <w:rsid w:val="39A32521"/>
    <w:rsid w:val="3A4F6395"/>
    <w:rsid w:val="3A5E2560"/>
    <w:rsid w:val="3A980246"/>
    <w:rsid w:val="3A9B6143"/>
    <w:rsid w:val="3A9E3CF8"/>
    <w:rsid w:val="3B3879E5"/>
    <w:rsid w:val="3B631B2E"/>
    <w:rsid w:val="3BB530FB"/>
    <w:rsid w:val="3BDC153B"/>
    <w:rsid w:val="3C3F54BD"/>
    <w:rsid w:val="3C4B56AF"/>
    <w:rsid w:val="3C9C2F22"/>
    <w:rsid w:val="3CC7071E"/>
    <w:rsid w:val="3D2E122B"/>
    <w:rsid w:val="3D3E058C"/>
    <w:rsid w:val="3D6060F0"/>
    <w:rsid w:val="3D6129A0"/>
    <w:rsid w:val="3D8B2919"/>
    <w:rsid w:val="3DB15A9C"/>
    <w:rsid w:val="3DB47C86"/>
    <w:rsid w:val="3DC6445B"/>
    <w:rsid w:val="3DE14AD1"/>
    <w:rsid w:val="3DF620B6"/>
    <w:rsid w:val="3DF93C7B"/>
    <w:rsid w:val="3E64030A"/>
    <w:rsid w:val="3E9A4B73"/>
    <w:rsid w:val="3EB867D5"/>
    <w:rsid w:val="3EE2567A"/>
    <w:rsid w:val="3F784F82"/>
    <w:rsid w:val="3FCC0AFE"/>
    <w:rsid w:val="3FFA2071"/>
    <w:rsid w:val="4000746B"/>
    <w:rsid w:val="40242B11"/>
    <w:rsid w:val="406F7F32"/>
    <w:rsid w:val="407C3AFA"/>
    <w:rsid w:val="40860530"/>
    <w:rsid w:val="40DB6EF9"/>
    <w:rsid w:val="40EA2EE6"/>
    <w:rsid w:val="412858DA"/>
    <w:rsid w:val="41353574"/>
    <w:rsid w:val="418649A3"/>
    <w:rsid w:val="426D06C6"/>
    <w:rsid w:val="427F42A7"/>
    <w:rsid w:val="42B1735A"/>
    <w:rsid w:val="43003FE1"/>
    <w:rsid w:val="430660E7"/>
    <w:rsid w:val="4349132E"/>
    <w:rsid w:val="43707529"/>
    <w:rsid w:val="43F16AAB"/>
    <w:rsid w:val="44E44362"/>
    <w:rsid w:val="44F35275"/>
    <w:rsid w:val="467755D6"/>
    <w:rsid w:val="475F7FC0"/>
    <w:rsid w:val="477573C3"/>
    <w:rsid w:val="488F255B"/>
    <w:rsid w:val="48C5141A"/>
    <w:rsid w:val="49285D64"/>
    <w:rsid w:val="492E5C67"/>
    <w:rsid w:val="4936780B"/>
    <w:rsid w:val="4965461C"/>
    <w:rsid w:val="49675AB1"/>
    <w:rsid w:val="49740AE7"/>
    <w:rsid w:val="49804AF7"/>
    <w:rsid w:val="49B4602A"/>
    <w:rsid w:val="49BD57CA"/>
    <w:rsid w:val="4A5F66E3"/>
    <w:rsid w:val="4B5D719E"/>
    <w:rsid w:val="4BCC5F48"/>
    <w:rsid w:val="4C842468"/>
    <w:rsid w:val="4C9D7ED4"/>
    <w:rsid w:val="4D3C6C25"/>
    <w:rsid w:val="4D7B3CA8"/>
    <w:rsid w:val="4DD0482E"/>
    <w:rsid w:val="4E1D491E"/>
    <w:rsid w:val="4E593173"/>
    <w:rsid w:val="4E9202E1"/>
    <w:rsid w:val="4FC02D30"/>
    <w:rsid w:val="503C15AC"/>
    <w:rsid w:val="5083240F"/>
    <w:rsid w:val="515165BD"/>
    <w:rsid w:val="51B96650"/>
    <w:rsid w:val="51FE4549"/>
    <w:rsid w:val="52601C94"/>
    <w:rsid w:val="526E1D5F"/>
    <w:rsid w:val="52AB323F"/>
    <w:rsid w:val="52CE12D8"/>
    <w:rsid w:val="532E030A"/>
    <w:rsid w:val="534E4F7A"/>
    <w:rsid w:val="538229C8"/>
    <w:rsid w:val="5415293F"/>
    <w:rsid w:val="542F379A"/>
    <w:rsid w:val="545F599B"/>
    <w:rsid w:val="54910775"/>
    <w:rsid w:val="55CA106E"/>
    <w:rsid w:val="56613B8C"/>
    <w:rsid w:val="56981F0B"/>
    <w:rsid w:val="56D958F7"/>
    <w:rsid w:val="575A1EA3"/>
    <w:rsid w:val="57767162"/>
    <w:rsid w:val="57970A1D"/>
    <w:rsid w:val="57BB2A3A"/>
    <w:rsid w:val="57BD5F55"/>
    <w:rsid w:val="58226F40"/>
    <w:rsid w:val="58481F49"/>
    <w:rsid w:val="585938C4"/>
    <w:rsid w:val="586070DE"/>
    <w:rsid w:val="58850E34"/>
    <w:rsid w:val="588D3D5A"/>
    <w:rsid w:val="5958570D"/>
    <w:rsid w:val="59ED5553"/>
    <w:rsid w:val="5A3B20C8"/>
    <w:rsid w:val="5A9D79DA"/>
    <w:rsid w:val="5B0D64E2"/>
    <w:rsid w:val="5B124EB1"/>
    <w:rsid w:val="5B297B9B"/>
    <w:rsid w:val="5B46401B"/>
    <w:rsid w:val="5B8D4E94"/>
    <w:rsid w:val="5BC9255D"/>
    <w:rsid w:val="5BE54098"/>
    <w:rsid w:val="5C4360CD"/>
    <w:rsid w:val="5CA70C24"/>
    <w:rsid w:val="5CE46E8E"/>
    <w:rsid w:val="5D1D62E8"/>
    <w:rsid w:val="5D225FB0"/>
    <w:rsid w:val="5DAB7107"/>
    <w:rsid w:val="5DEA0798"/>
    <w:rsid w:val="5E611E1F"/>
    <w:rsid w:val="5EAD2CC3"/>
    <w:rsid w:val="5F5C1A74"/>
    <w:rsid w:val="5F6D1851"/>
    <w:rsid w:val="601F312C"/>
    <w:rsid w:val="60745CEB"/>
    <w:rsid w:val="60950630"/>
    <w:rsid w:val="612B0FF4"/>
    <w:rsid w:val="61301798"/>
    <w:rsid w:val="61391B35"/>
    <w:rsid w:val="614F037D"/>
    <w:rsid w:val="61795BCD"/>
    <w:rsid w:val="61CE01CC"/>
    <w:rsid w:val="61DF6E85"/>
    <w:rsid w:val="621127D6"/>
    <w:rsid w:val="625C035E"/>
    <w:rsid w:val="628A6AE2"/>
    <w:rsid w:val="62B24FA9"/>
    <w:rsid w:val="62C80F08"/>
    <w:rsid w:val="62DC5938"/>
    <w:rsid w:val="632151AD"/>
    <w:rsid w:val="638E0D93"/>
    <w:rsid w:val="63D9280D"/>
    <w:rsid w:val="63E2181A"/>
    <w:rsid w:val="648E0956"/>
    <w:rsid w:val="64CB0F2E"/>
    <w:rsid w:val="651D6EE7"/>
    <w:rsid w:val="65D10F97"/>
    <w:rsid w:val="661B096D"/>
    <w:rsid w:val="6631478F"/>
    <w:rsid w:val="663B364C"/>
    <w:rsid w:val="667021ED"/>
    <w:rsid w:val="668605B1"/>
    <w:rsid w:val="668D0005"/>
    <w:rsid w:val="66AB5D7B"/>
    <w:rsid w:val="66DD1C13"/>
    <w:rsid w:val="67153947"/>
    <w:rsid w:val="6787238C"/>
    <w:rsid w:val="67A24C86"/>
    <w:rsid w:val="6899340A"/>
    <w:rsid w:val="68EC468A"/>
    <w:rsid w:val="691F62D1"/>
    <w:rsid w:val="6938406A"/>
    <w:rsid w:val="693C2B44"/>
    <w:rsid w:val="69570982"/>
    <w:rsid w:val="69A622FD"/>
    <w:rsid w:val="6A0B6943"/>
    <w:rsid w:val="6A431A95"/>
    <w:rsid w:val="6A5F2844"/>
    <w:rsid w:val="6A7228CC"/>
    <w:rsid w:val="6ACA317F"/>
    <w:rsid w:val="6B7C69AC"/>
    <w:rsid w:val="6BBB7C2B"/>
    <w:rsid w:val="6C0C5067"/>
    <w:rsid w:val="6C606ECD"/>
    <w:rsid w:val="6CC45A6F"/>
    <w:rsid w:val="6CDA7B03"/>
    <w:rsid w:val="6D436AA3"/>
    <w:rsid w:val="6D8F2D42"/>
    <w:rsid w:val="6E087356"/>
    <w:rsid w:val="6E272727"/>
    <w:rsid w:val="70004668"/>
    <w:rsid w:val="70033F2A"/>
    <w:rsid w:val="70192247"/>
    <w:rsid w:val="707A76B5"/>
    <w:rsid w:val="709B6BEB"/>
    <w:rsid w:val="71535F4D"/>
    <w:rsid w:val="71A75992"/>
    <w:rsid w:val="724947D9"/>
    <w:rsid w:val="72AF637C"/>
    <w:rsid w:val="72D277C7"/>
    <w:rsid w:val="73223B9E"/>
    <w:rsid w:val="7451516F"/>
    <w:rsid w:val="747418CD"/>
    <w:rsid w:val="749F11DA"/>
    <w:rsid w:val="74BD467A"/>
    <w:rsid w:val="75C17130"/>
    <w:rsid w:val="75F31AB7"/>
    <w:rsid w:val="764C19E2"/>
    <w:rsid w:val="76660FD5"/>
    <w:rsid w:val="77A87F05"/>
    <w:rsid w:val="77B03B19"/>
    <w:rsid w:val="782D3E06"/>
    <w:rsid w:val="784A3C38"/>
    <w:rsid w:val="79031811"/>
    <w:rsid w:val="79CC532E"/>
    <w:rsid w:val="79DD23A6"/>
    <w:rsid w:val="7A2D181F"/>
    <w:rsid w:val="7A367D35"/>
    <w:rsid w:val="7A3B742A"/>
    <w:rsid w:val="7A6E0EDC"/>
    <w:rsid w:val="7B0256C2"/>
    <w:rsid w:val="7B0F492E"/>
    <w:rsid w:val="7B353A92"/>
    <w:rsid w:val="7B794D80"/>
    <w:rsid w:val="7BC8717D"/>
    <w:rsid w:val="7BCD6521"/>
    <w:rsid w:val="7C5838FF"/>
    <w:rsid w:val="7C6110CE"/>
    <w:rsid w:val="7CB4100B"/>
    <w:rsid w:val="7CC94E99"/>
    <w:rsid w:val="7CDC3439"/>
    <w:rsid w:val="7CF8370F"/>
    <w:rsid w:val="7D0C7531"/>
    <w:rsid w:val="7D1D3C35"/>
    <w:rsid w:val="7D421906"/>
    <w:rsid w:val="7D5F7D0A"/>
    <w:rsid w:val="7D892297"/>
    <w:rsid w:val="7DE875DA"/>
    <w:rsid w:val="7E3B6F68"/>
    <w:rsid w:val="7E495CA5"/>
    <w:rsid w:val="7E8010F6"/>
    <w:rsid w:val="7EBD4A80"/>
    <w:rsid w:val="7EC90CED"/>
    <w:rsid w:val="7ECF34F9"/>
    <w:rsid w:val="7F09474B"/>
    <w:rsid w:val="7F1035E0"/>
    <w:rsid w:val="7F87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 w:type="character" w:customStyle="1" w:styleId="17">
    <w:name w:val="font81"/>
    <w:basedOn w:val="8"/>
    <w:qFormat/>
    <w:uiPriority w:val="0"/>
    <w:rPr>
      <w:rFonts w:hint="eastAsia" w:ascii="方正仿宋简体" w:hAnsi="方正仿宋简体" w:eastAsia="方正仿宋简体" w:cs="方正仿宋简体"/>
      <w:color w:val="000000"/>
      <w:sz w:val="24"/>
      <w:szCs w:val="24"/>
      <w:u w:val="none"/>
    </w:rPr>
  </w:style>
  <w:style w:type="character" w:customStyle="1" w:styleId="18">
    <w:name w:val="font7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1</TotalTime>
  <ScaleCrop>false</ScaleCrop>
  <LinksUpToDate>false</LinksUpToDate>
  <CharactersWithSpaces>9286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2019-12-09T02:46:00Z</cp:lastPrinted>
  <dcterms:modified xsi:type="dcterms:W3CDTF">2019-12-12T00:54:31Z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