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7"/>
        <w:pBdr>
          <w:bottom w:val="single" w:color="auto" w:sz="4" w:space="1"/>
        </w:pBdr>
        <w:spacing w:after="240"/>
        <w:rPr>
          <w:rFonts w:ascii="微软雅黑 Light" w:hAnsi="微软雅黑 Light" w:eastAsia="微软雅黑 Light"/>
          <w:sz w:val="40"/>
        </w:rPr>
      </w:pPr>
      <w:bookmarkStart w:id="0" w:name="_GoBack"/>
      <w:bookmarkEnd w:id="0"/>
      <w:r>
        <w:rPr>
          <w:rFonts w:hint="eastAsia" w:ascii="微软雅黑 Light" w:hAnsi="微软雅黑 Light" w:eastAsia="微软雅黑 Light"/>
          <w:sz w:val="40"/>
        </w:rPr>
        <w:t>云南省会计人员信息采集操作手册</w:t>
      </w:r>
    </w:p>
    <w:p>
      <w:pPr>
        <w:pStyle w:val="2"/>
        <w:numPr>
          <w:ilvl w:val="0"/>
          <w:numId w:val="1"/>
        </w:numPr>
        <w:spacing w:before="600" w:after="0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信息采集须知</w:t>
      </w:r>
    </w:p>
    <w:p>
      <w:pPr>
        <w:pStyle w:val="15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系统运行环境</w:t>
      </w:r>
    </w:p>
    <w:p>
      <w:pPr>
        <w:spacing w:line="360" w:lineRule="auto"/>
        <w:ind w:firstLine="420"/>
      </w:pPr>
      <w:r>
        <w:fldChar w:fldCharType="begin"/>
      </w:r>
      <w:r>
        <w:instrText xml:space="preserve"> HYPERLINK "http://browser.360.cn/" \t "_blank" </w:instrText>
      </w:r>
      <w:r>
        <w:fldChar w:fldCharType="separate"/>
      </w:r>
      <w:r>
        <w:t>360安全浏览器</w:t>
      </w:r>
      <w:r>
        <w:fldChar w:fldCharType="end"/>
      </w:r>
      <w:r>
        <w:t>/IE</w:t>
      </w:r>
      <w:r>
        <w:rPr>
          <w:rFonts w:hint="eastAsia"/>
        </w:rPr>
        <w:t>10</w:t>
      </w:r>
      <w:r>
        <w:t>及以上版本/谷歌</w:t>
      </w:r>
      <w:r>
        <w:rPr>
          <w:rFonts w:hint="eastAsia"/>
        </w:rPr>
        <w:t>（Chrome）</w:t>
      </w:r>
      <w:r>
        <w:t>浏览器</w:t>
      </w:r>
      <w:r>
        <w:rPr>
          <w:rFonts w:hint="eastAsia"/>
        </w:rPr>
        <w:t>/搜狗浏览器。</w:t>
      </w:r>
    </w:p>
    <w:p>
      <w:pPr>
        <w:pStyle w:val="15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信息采集对象</w:t>
      </w:r>
    </w:p>
    <w:p>
      <w:pPr>
        <w:pStyle w:val="15"/>
        <w:numPr>
          <w:ilvl w:val="1"/>
          <w:numId w:val="1"/>
        </w:numPr>
        <w:spacing w:line="360" w:lineRule="auto"/>
        <w:ind w:firstLineChars="0"/>
        <w:rPr>
          <w:rFonts w:ascii="Tahoma" w:hAnsi="Tahoma" w:eastAsia="微软雅黑"/>
          <w:kern w:val="0"/>
          <w:sz w:val="22"/>
        </w:rPr>
      </w:pPr>
      <w:r>
        <w:rPr>
          <w:rFonts w:ascii="Tahoma" w:hAnsi="Tahoma" w:eastAsia="微软雅黑"/>
          <w:kern w:val="0"/>
          <w:sz w:val="22"/>
        </w:rPr>
        <w:t>具有会计专业技术（含初级、中级、高级、正高级）资格的人员；</w:t>
      </w:r>
    </w:p>
    <w:p>
      <w:pPr>
        <w:pStyle w:val="15"/>
        <w:numPr>
          <w:ilvl w:val="1"/>
          <w:numId w:val="1"/>
        </w:numPr>
        <w:spacing w:line="360" w:lineRule="auto"/>
        <w:ind w:firstLineChars="0"/>
        <w:rPr>
          <w:rFonts w:ascii="Tahoma" w:hAnsi="Tahoma" w:eastAsia="微软雅黑"/>
          <w:kern w:val="0"/>
          <w:sz w:val="22"/>
        </w:rPr>
      </w:pPr>
      <w:r>
        <w:rPr>
          <w:rFonts w:ascii="Tahoma" w:hAnsi="Tahoma" w:eastAsia="微软雅黑"/>
          <w:kern w:val="0"/>
          <w:sz w:val="22"/>
        </w:rPr>
        <w:t>不具有会计专业技术资格但从事会计工作的人员。</w:t>
      </w:r>
    </w:p>
    <w:p>
      <w:pPr>
        <w:spacing w:after="0" w:line="360" w:lineRule="auto"/>
        <w:ind w:firstLine="420"/>
      </w:pPr>
      <w:r>
        <w:t>从事会计工作人员是指从事下列具体会计工作的人员：出纳；稽核；资产、负债和所有者权益（净资产）的核算；收入、费用（支出）的核算；财务成果（政府预算执行结果）的核算；财务会计报告（决算报告）编制；会计监督；会计机构内会计档案管理；其他会计工作。</w:t>
      </w:r>
    </w:p>
    <w:p>
      <w:pPr>
        <w:spacing w:line="360" w:lineRule="auto"/>
        <w:ind w:firstLine="420"/>
      </w:pPr>
      <w:r>
        <w:t>担任单位会计机构负责人（会计主管人员）、总会计师的人员，属于会计人员。</w:t>
      </w:r>
    </w:p>
    <w:p>
      <w:pPr>
        <w:pStyle w:val="15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信息采集属地及信息安全</w:t>
      </w:r>
    </w:p>
    <w:p>
      <w:pPr>
        <w:spacing w:after="0" w:line="360" w:lineRule="auto"/>
        <w:ind w:firstLine="420"/>
      </w:pPr>
      <w:r>
        <w:t>会计人员信息采集实行属地化原则。在岗在职会计人员在工作单位所在地进行信息采集，在校生（已取得会计专业技术资格）在其学籍所在地进行信息采集，其他人员（已取得会计专业技术资格）在户籍所在地或居住地进行信息采集。</w:t>
      </w:r>
    </w:p>
    <w:p>
      <w:pPr>
        <w:spacing w:after="0" w:line="360" w:lineRule="auto"/>
        <w:ind w:firstLine="420"/>
      </w:pPr>
      <w:r>
        <w:t>信息采集需要设置登录密码和绑定手机号，会计人员要确保信息安全，妥善保管</w:t>
      </w:r>
      <w:r>
        <w:rPr>
          <w:rFonts w:hint="eastAsia"/>
          <w:lang w:eastAsia="zh-CN"/>
        </w:rPr>
        <w:t>登录</w:t>
      </w:r>
      <w:r>
        <w:t>密码，切勿将</w:t>
      </w:r>
      <w:r>
        <w:rPr>
          <w:rFonts w:hint="eastAsia"/>
          <w:lang w:eastAsia="zh-CN"/>
        </w:rPr>
        <w:t>登录</w:t>
      </w:r>
      <w:r>
        <w:t>密码等重要信息提供给他人使用，造成后果由本人自行承担。</w:t>
      </w:r>
      <w:r>
        <w:rPr>
          <w:rFonts w:hint="eastAsia"/>
        </w:rPr>
        <w:t>若遗忘密码，可通过登录界面“忘记密码”功能找回。</w:t>
      </w:r>
    </w:p>
    <w:p>
      <w:r>
        <w:br w:type="page"/>
      </w:r>
    </w:p>
    <w:p>
      <w:pPr>
        <w:pStyle w:val="15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信息采集流程</w:t>
      </w:r>
    </w:p>
    <w:p>
      <w:pPr>
        <w:spacing w:line="360" w:lineRule="auto"/>
        <w:jc w:val="center"/>
        <w:rPr>
          <w:rFonts w:ascii="微软雅黑 Light" w:hAnsi="微软雅黑 Light" w:eastAsia="微软雅黑 Light" w:cs="等线"/>
          <w:b/>
        </w:rPr>
      </w:pPr>
      <w:r>
        <w:rPr>
          <w:bdr w:val="single" w:color="auto" w:sz="4" w:space="0"/>
        </w:rPr>
        <w:drawing>
          <wp:inline distT="0" distB="0" distL="114300" distR="114300">
            <wp:extent cx="4735195" cy="1308100"/>
            <wp:effectExtent l="0" t="0" r="14605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195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5"/>
        <w:numPr>
          <w:ilvl w:val="1"/>
          <w:numId w:val="2"/>
        </w:numPr>
        <w:spacing w:line="360" w:lineRule="auto"/>
        <w:ind w:firstLineChars="0"/>
        <w:rPr>
          <w:rFonts w:ascii="微软雅黑 Light" w:hAnsi="微软雅黑 Light" w:eastAsia="微软雅黑 Light" w:cs="等线"/>
          <w:b/>
        </w:rPr>
      </w:pPr>
      <w:r>
        <w:rPr>
          <w:rFonts w:hint="eastAsia" w:ascii="微软雅黑 Light" w:hAnsi="微软雅黑 Light" w:eastAsia="微软雅黑 Light" w:cs="等线"/>
          <w:b/>
        </w:rPr>
        <w:t xml:space="preserve">  </w:t>
      </w:r>
      <w:r>
        <w:rPr>
          <w:rFonts w:ascii="微软雅黑 Light" w:hAnsi="微软雅黑 Light" w:eastAsia="微软雅黑 Light" w:cs="等线"/>
          <w:b/>
        </w:rPr>
        <w:t>上传材料</w:t>
      </w:r>
    </w:p>
    <w:p>
      <w:pPr>
        <w:spacing w:after="0" w:line="360" w:lineRule="auto"/>
        <w:ind w:left="440" w:leftChars="200"/>
      </w:pPr>
      <w:r>
        <w:t>（一）</w:t>
      </w:r>
      <w:r>
        <w:rPr>
          <w:rFonts w:hint="eastAsia"/>
        </w:rPr>
        <w:t>个人近期白底电子版1寸证件照</w:t>
      </w:r>
      <w:r>
        <w:t>；</w:t>
      </w:r>
    </w:p>
    <w:p>
      <w:pPr>
        <w:spacing w:after="0" w:line="360" w:lineRule="auto"/>
        <w:ind w:left="440" w:leftChars="200"/>
      </w:pPr>
      <w:r>
        <w:t>（二）身份证正、反面；</w:t>
      </w:r>
    </w:p>
    <w:p>
      <w:pPr>
        <w:spacing w:after="0" w:line="360" w:lineRule="auto"/>
        <w:ind w:left="440" w:leftChars="200"/>
      </w:pPr>
      <w:r>
        <w:t xml:space="preserve">（三）工作证明（在职的人员需要）； </w:t>
      </w:r>
    </w:p>
    <w:p>
      <w:pPr>
        <w:spacing w:after="0" w:line="360" w:lineRule="auto"/>
        <w:ind w:firstLine="420"/>
      </w:pPr>
      <w:r>
        <w:t>（四）</w:t>
      </w:r>
      <w:r>
        <w:rPr>
          <w:rFonts w:hint="eastAsia"/>
        </w:rPr>
        <w:t xml:space="preserve"> 居</w:t>
      </w:r>
      <w:r>
        <w:t>住证或户口簿或学生证（不在职的人员需要，主要上传含有本人信息的页面）；</w:t>
      </w:r>
    </w:p>
    <w:p>
      <w:pPr>
        <w:spacing w:after="0" w:line="360" w:lineRule="auto"/>
        <w:ind w:firstLine="420"/>
      </w:pPr>
      <w:r>
        <w:t>（五）全日制和非全日制最高学历（学位）证书（没有非全日学历无需准备非全日制学历证明）；</w:t>
      </w:r>
    </w:p>
    <w:p>
      <w:pPr>
        <w:spacing w:after="0" w:line="360" w:lineRule="auto"/>
        <w:ind w:left="440" w:leftChars="200"/>
      </w:pPr>
      <w:r>
        <w:t>（六）会计专业技术资格证书（取得会计专业技术资格的人员需要）</w:t>
      </w:r>
      <w:r>
        <w:rPr>
          <w:rFonts w:hint="eastAsia"/>
        </w:rPr>
        <w:t>。</w:t>
      </w:r>
    </w:p>
    <w:p>
      <w:pPr>
        <w:spacing w:line="360" w:lineRule="auto"/>
        <w:ind w:firstLine="440" w:firstLineChars="200"/>
      </w:pPr>
      <w:r>
        <w:t>注：文件格式为</w:t>
      </w:r>
      <w:r>
        <w:rPr>
          <w:rFonts w:hint="eastAsia"/>
        </w:rPr>
        <w:t>jpg、jpeg、png</w:t>
      </w:r>
      <w:r>
        <w:t>格式。近期1寸</w:t>
      </w:r>
      <w:r>
        <w:rPr>
          <w:rFonts w:hint="eastAsia"/>
        </w:rPr>
        <w:t>证件</w:t>
      </w:r>
      <w:r>
        <w:t>照文件不得大于</w:t>
      </w:r>
      <w:r>
        <w:rPr>
          <w:rFonts w:hint="eastAsia"/>
        </w:rPr>
        <w:t>20</w:t>
      </w:r>
      <w:r>
        <w:t>KB</w:t>
      </w:r>
      <w:r>
        <w:rPr>
          <w:rFonts w:hint="eastAsia"/>
        </w:rPr>
        <w:t>，证件照上传前请下载并使用《照片处理工具》进行验证</w:t>
      </w:r>
      <w:r>
        <w:t>，其他证明材料文件不得大于</w:t>
      </w:r>
      <w:r>
        <w:rPr>
          <w:rFonts w:hint="eastAsia"/>
        </w:rPr>
        <w:t>2</w:t>
      </w:r>
      <w:r>
        <w:t>00KB。</w:t>
      </w:r>
    </w:p>
    <w:p>
      <w:pPr>
        <w:pStyle w:val="2"/>
        <w:numPr>
          <w:ilvl w:val="0"/>
          <w:numId w:val="1"/>
        </w:numPr>
        <w:spacing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照片美图情况建议</w:t>
      </w:r>
    </w:p>
    <w:p>
      <w:pPr>
        <w:spacing w:after="0" w:line="360" w:lineRule="auto"/>
        <w:ind w:firstLine="440" w:firstLineChars="200"/>
      </w:pPr>
      <w:r>
        <w:rPr>
          <w:rFonts w:hint="eastAsia"/>
        </w:rPr>
        <w:t>信息采集过程中需要申报人上传照片、身份证件、学历证书等材料的图片，图片格式、照片大小不符合规定要求，往往导致上传失败，采集前</w:t>
      </w:r>
      <w:r>
        <w:t>可按如下</w:t>
      </w:r>
      <w:r>
        <w:rPr>
          <w:rFonts w:hint="eastAsia"/>
        </w:rPr>
        <w:t>步骤</w:t>
      </w:r>
      <w:r>
        <w:t>处理图片</w:t>
      </w:r>
      <w:r>
        <w:rPr>
          <w:rFonts w:hint="eastAsia"/>
        </w:rPr>
        <w:t>：</w:t>
      </w:r>
    </w:p>
    <w:p>
      <w:pPr>
        <w:pStyle w:val="6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eastAsia="微软雅黑" w:cstheme="minorBidi"/>
          <w:sz w:val="22"/>
          <w:szCs w:val="22"/>
        </w:rPr>
      </w:pPr>
      <w:r>
        <w:rPr>
          <w:rFonts w:hint="eastAsia" w:ascii="Tahoma" w:hAnsi="Tahoma" w:eastAsia="微软雅黑" w:cstheme="minorBidi"/>
          <w:sz w:val="22"/>
          <w:szCs w:val="22"/>
        </w:rPr>
        <w:t>电脑下载【美图秀秀】打开要上传的图片，单击右上角的【保存与分享】：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Fonts w:ascii="微软雅黑 Light" w:hAnsi="微软雅黑 Light" w:eastAsia="微软雅黑 Light" w:cstheme="minorBidi"/>
          <w:kern w:val="2"/>
          <w:sz w:val="21"/>
          <w:szCs w:val="22"/>
        </w:rPr>
      </w:pPr>
      <w:r>
        <w:drawing>
          <wp:inline distT="0" distB="0" distL="0" distR="0">
            <wp:extent cx="5274310" cy="2867660"/>
            <wp:effectExtent l="19050" t="1905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1"/>
          <w:numId w:val="3"/>
        </w:numPr>
        <w:shd w:val="clear" w:color="auto" w:fill="FFFFFF"/>
        <w:spacing w:before="0" w:beforeAutospacing="0" w:after="0" w:afterAutospacing="0" w:line="360" w:lineRule="auto"/>
        <w:jc w:val="both"/>
        <w:rPr>
          <w:rFonts w:ascii="Tahoma" w:hAnsi="Tahoma" w:eastAsia="微软雅黑" w:cstheme="minorBidi"/>
          <w:sz w:val="22"/>
          <w:szCs w:val="22"/>
        </w:rPr>
      </w:pPr>
      <w:r>
        <w:rPr>
          <w:rFonts w:hint="eastAsia" w:ascii="Tahoma" w:hAnsi="Tahoma" w:eastAsia="微软雅黑" w:cstheme="minorBidi"/>
          <w:sz w:val="22"/>
          <w:szCs w:val="22"/>
        </w:rPr>
        <w:t>单击【画质】打开画质调节，根据信息采集的要求调节到20KB或200KB以下即可单击【保存】，用生成的图片上传：</w:t>
      </w:r>
    </w:p>
    <w:p>
      <w:pPr>
        <w:pStyle w:val="6"/>
        <w:shd w:val="clear" w:color="auto" w:fill="FFFFFF"/>
        <w:spacing w:before="0" w:beforeAutospacing="0" w:after="0" w:afterAutospacing="0"/>
        <w:jc w:val="center"/>
        <w:rPr>
          <w:rFonts w:ascii="微软雅黑" w:hAnsi="微软雅黑" w:eastAsia="微软雅黑"/>
          <w:color w:val="333333"/>
          <w:spacing w:val="15"/>
        </w:rPr>
      </w:pPr>
      <w:r>
        <w:drawing>
          <wp:inline distT="0" distB="0" distL="0" distR="0">
            <wp:extent cx="5274310" cy="3026410"/>
            <wp:effectExtent l="19050" t="19050" r="254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>
      <w:pPr>
        <w:pStyle w:val="2"/>
        <w:numPr>
          <w:ilvl w:val="0"/>
          <w:numId w:val="1"/>
        </w:numPr>
        <w:spacing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采集人员登录</w:t>
      </w:r>
    </w:p>
    <w:p>
      <w:pPr>
        <w:numPr>
          <w:ilvl w:val="1"/>
          <w:numId w:val="4"/>
        </w:numPr>
        <w:rPr>
          <w:rFonts w:ascii="微软雅黑" w:hAnsi="微软雅黑"/>
        </w:rPr>
      </w:pPr>
      <w:r>
        <w:rPr>
          <w:rFonts w:ascii="微软雅黑" w:hAnsi="微软雅黑"/>
        </w:rPr>
        <w:t>登录云南省财政厅官方网站</w:t>
      </w:r>
    </w:p>
    <w:p>
      <w:pPr>
        <w:ind w:left="567"/>
        <w:rPr>
          <w:rFonts w:hint="eastAsia" w:ascii="微软雅黑" w:hAnsi="微软雅黑"/>
        </w:rPr>
      </w:pPr>
      <w:r>
        <w:rPr>
          <w:rFonts w:hint="eastAsia" w:ascii="微软雅黑" w:hAnsi="微软雅黑"/>
        </w:rPr>
        <w:t>网址：</w:t>
      </w:r>
      <w:r>
        <w:fldChar w:fldCharType="begin"/>
      </w:r>
      <w:r>
        <w:instrText xml:space="preserve"> HYPERLINK "http://www.ynf.gov.cn/" </w:instrText>
      </w:r>
      <w:r>
        <w:fldChar w:fldCharType="separate"/>
      </w:r>
      <w:r>
        <w:rPr>
          <w:rStyle w:val="10"/>
        </w:rPr>
        <w:t>http://www.ynf.gov.cn/</w:t>
      </w:r>
      <w:r>
        <w:rPr>
          <w:rStyle w:val="10"/>
        </w:rPr>
        <w:fldChar w:fldCharType="end"/>
      </w:r>
    </w:p>
    <w:p>
      <w:pPr>
        <w:jc w:val="center"/>
      </w:pPr>
      <w:r>
        <w:drawing>
          <wp:inline distT="0" distB="0" distL="114300" distR="114300">
            <wp:extent cx="5272405" cy="1737360"/>
            <wp:effectExtent l="19050" t="19050" r="444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373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720"/>
      </w:pPr>
      <w:r>
        <w:rPr>
          <w:rFonts w:hint="eastAsia"/>
        </w:rPr>
        <w:t>鼠标滚动至首页下方“云南省政务服务网上大厅”位置，</w:t>
      </w:r>
      <w:r>
        <w:t>选择</w:t>
      </w:r>
      <w:r>
        <w:rPr>
          <w:rFonts w:hint="eastAsia"/>
        </w:rPr>
        <w:t>“</w:t>
      </w:r>
      <w:r>
        <w:t>会计管理</w:t>
      </w:r>
      <w:r>
        <w:rPr>
          <w:rFonts w:hint="eastAsia"/>
        </w:rPr>
        <w:t>”，鼠标点击进入，如下图：</w:t>
      </w:r>
    </w:p>
    <w:p>
      <w:pPr>
        <w:jc w:val="center"/>
      </w:pPr>
      <w:r>
        <w:drawing>
          <wp:inline distT="0" distB="0" distL="114300" distR="114300">
            <wp:extent cx="5267960" cy="2495550"/>
            <wp:effectExtent l="19050" t="19050" r="8890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720"/>
        <w:rPr>
          <w:rFonts w:hint="eastAsia"/>
        </w:rPr>
      </w:pPr>
      <w:r>
        <w:rPr>
          <w:rFonts w:hint="eastAsia"/>
        </w:rPr>
        <w:t>进入云南财政会计管理网首页后，点击界面右侧的“会计人员信息采集”功能，如下图：</w:t>
      </w:r>
    </w:p>
    <w:p>
      <w:pPr>
        <w:jc w:val="center"/>
      </w:pPr>
      <w:r>
        <w:drawing>
          <wp:inline distT="0" distB="0" distL="114300" distR="114300">
            <wp:extent cx="5262880" cy="2291080"/>
            <wp:effectExtent l="19050" t="1905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2910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tab/>
      </w:r>
      <w:r>
        <w:rPr>
          <w:rFonts w:hint="eastAsia"/>
        </w:rPr>
        <w:t>系统引导打开“云南省会计人员管理系统”首页，如下图：</w:t>
      </w:r>
    </w:p>
    <w:p>
      <w:pPr>
        <w:spacing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274310" cy="3079750"/>
            <wp:effectExtent l="19050" t="19050" r="2540" b="6350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004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left="440" w:leftChars="200"/>
        <w:rPr>
          <w:b/>
        </w:rPr>
      </w:pPr>
      <w:r>
        <w:rPr>
          <w:rFonts w:hint="eastAsia"/>
          <w:b/>
        </w:rPr>
        <w:t>说明：</w:t>
      </w:r>
    </w:p>
    <w:p>
      <w:pPr>
        <w:pStyle w:val="15"/>
        <w:numPr>
          <w:ilvl w:val="0"/>
          <w:numId w:val="5"/>
        </w:numPr>
        <w:spacing w:line="360" w:lineRule="auto"/>
        <w:ind w:left="440" w:leftChars="200" w:firstLineChars="0"/>
        <w:rPr>
          <w:rFonts w:ascii="微软雅黑 Light" w:hAnsi="微软雅黑 Light" w:eastAsia="微软雅黑 Light" w:cs="等线"/>
          <w:sz w:val="22"/>
        </w:rPr>
      </w:pPr>
      <w:r>
        <w:rPr>
          <w:rFonts w:ascii="微软雅黑 Light" w:hAnsi="微软雅黑 Light" w:eastAsia="微软雅黑 Light"/>
          <w:b/>
          <w:sz w:val="22"/>
        </w:rPr>
        <w:t>原有会计</w:t>
      </w:r>
      <w:r>
        <w:rPr>
          <w:rFonts w:hint="eastAsia" w:ascii="Meiryo" w:hAnsi="Meiryo" w:eastAsia="Meiryo" w:cs="Meiryo"/>
          <w:b/>
          <w:sz w:val="22"/>
        </w:rPr>
        <w:t>⼈</w:t>
      </w:r>
      <w:r>
        <w:rPr>
          <w:rFonts w:hint="eastAsia" w:ascii="微软雅黑 Light" w:hAnsi="微软雅黑 Light" w:eastAsia="微软雅黑 Light" w:cs="等线"/>
          <w:b/>
          <w:sz w:val="22"/>
        </w:rPr>
        <w:t>员：</w:t>
      </w:r>
      <w:r>
        <w:rPr>
          <w:rFonts w:hint="eastAsia" w:ascii="Tahoma" w:hAnsi="Tahoma" w:eastAsia="微软雅黑"/>
          <w:kern w:val="0"/>
          <w:sz w:val="22"/>
        </w:rPr>
        <w:t>输⼊</w:t>
      </w:r>
      <w:r>
        <w:rPr>
          <w:rFonts w:ascii="Tahoma" w:hAnsi="Tahoma" w:eastAsia="微软雅黑"/>
          <w:kern w:val="0"/>
          <w:sz w:val="22"/>
        </w:rPr>
        <w:t>证件号</w:t>
      </w:r>
      <w:r>
        <w:rPr>
          <w:rFonts w:hint="eastAsia" w:ascii="Tahoma" w:hAnsi="Tahoma" w:eastAsia="微软雅黑"/>
          <w:kern w:val="0"/>
          <w:sz w:val="22"/>
        </w:rPr>
        <w:t>码</w:t>
      </w:r>
      <w:r>
        <w:rPr>
          <w:rFonts w:ascii="Tahoma" w:hAnsi="Tahoma" w:eastAsia="微软雅黑"/>
          <w:kern w:val="0"/>
          <w:sz w:val="22"/>
        </w:rPr>
        <w:t>+</w:t>
      </w:r>
      <w:r>
        <w:rPr>
          <w:rFonts w:hint="eastAsia" w:ascii="Tahoma" w:hAnsi="Tahoma" w:eastAsia="微软雅黑"/>
          <w:kern w:val="0"/>
          <w:sz w:val="22"/>
        </w:rPr>
        <w:t>密码+</w:t>
      </w:r>
      <w:r>
        <w:rPr>
          <w:rFonts w:ascii="Tahoma" w:hAnsi="Tahoma" w:eastAsia="微软雅黑"/>
          <w:kern w:val="0"/>
          <w:sz w:val="22"/>
        </w:rPr>
        <w:t>验证码</w:t>
      </w:r>
      <w:r>
        <w:rPr>
          <w:rFonts w:hint="eastAsia" w:ascii="Tahoma" w:hAnsi="Tahoma" w:eastAsia="微软雅黑"/>
          <w:kern w:val="0"/>
          <w:sz w:val="22"/>
        </w:rPr>
        <w:t>，</w:t>
      </w:r>
      <w:r>
        <w:rPr>
          <w:rFonts w:ascii="Tahoma" w:hAnsi="Tahoma" w:eastAsia="微软雅黑"/>
          <w:kern w:val="0"/>
          <w:sz w:val="22"/>
        </w:rPr>
        <w:t>登录后补充信息。</w:t>
      </w:r>
    </w:p>
    <w:p>
      <w:pPr>
        <w:pStyle w:val="15"/>
        <w:numPr>
          <w:ilvl w:val="0"/>
          <w:numId w:val="5"/>
        </w:numPr>
        <w:spacing w:line="360" w:lineRule="auto"/>
        <w:ind w:left="440" w:leftChars="200" w:firstLineChars="0"/>
        <w:rPr>
          <w:rFonts w:ascii="微软雅黑 Light" w:hAnsi="微软雅黑 Light" w:eastAsia="微软雅黑 Light" w:cs="等线"/>
          <w:sz w:val="22"/>
        </w:rPr>
      </w:pPr>
      <w:r>
        <w:rPr>
          <w:rFonts w:ascii="微软雅黑 Light" w:hAnsi="微软雅黑 Light" w:eastAsia="微软雅黑 Light"/>
          <w:b/>
          <w:sz w:val="22"/>
        </w:rPr>
        <w:t>未进</w:t>
      </w:r>
      <w:r>
        <w:rPr>
          <w:rFonts w:hint="eastAsia" w:ascii="Meiryo" w:hAnsi="Meiryo" w:eastAsia="Meiryo" w:cs="Meiryo"/>
          <w:b/>
          <w:sz w:val="22"/>
        </w:rPr>
        <w:t>⾏</w:t>
      </w:r>
      <w:r>
        <w:rPr>
          <w:rFonts w:hint="eastAsia" w:ascii="微软雅黑 Light" w:hAnsi="微软雅黑 Light" w:eastAsia="微软雅黑 Light" w:cs="等线"/>
          <w:b/>
          <w:sz w:val="22"/>
        </w:rPr>
        <w:t>信息采集的</w:t>
      </w:r>
      <w:r>
        <w:rPr>
          <w:rFonts w:hint="eastAsia" w:ascii="Meiryo" w:hAnsi="Meiryo" w:eastAsia="Meiryo" w:cs="Meiryo"/>
          <w:b/>
          <w:sz w:val="22"/>
        </w:rPr>
        <w:t>⼈</w:t>
      </w:r>
      <w:r>
        <w:rPr>
          <w:rFonts w:hint="eastAsia" w:ascii="微软雅黑 Light" w:hAnsi="微软雅黑 Light" w:eastAsia="微软雅黑 Light" w:cs="等线"/>
          <w:b/>
          <w:sz w:val="22"/>
        </w:rPr>
        <w:t>员：</w:t>
      </w:r>
      <w:r>
        <w:rPr>
          <w:rFonts w:hint="eastAsia" w:ascii="Tahoma" w:hAnsi="Tahoma" w:eastAsia="微软雅黑"/>
          <w:kern w:val="0"/>
          <w:sz w:val="22"/>
        </w:rPr>
        <w:t>单击【注册】，进⼊注册页⾯，填写个⼈真实信息注册</w:t>
      </w:r>
      <w:r>
        <w:rPr>
          <w:rFonts w:hint="eastAsia" w:ascii="微软雅黑 Light" w:hAnsi="微软雅黑 Light" w:eastAsia="微软雅黑 Light" w:cs="等线"/>
          <w:sz w:val="22"/>
        </w:rPr>
        <w:t>。</w:t>
      </w:r>
    </w:p>
    <w:p>
      <w:pPr>
        <w:spacing w:line="360" w:lineRule="auto"/>
        <w:ind w:left="440" w:leftChars="200"/>
        <w:rPr>
          <w:rFonts w:ascii="微软雅黑 Light" w:hAnsi="微软雅黑 Light" w:eastAsia="微软雅黑 Light"/>
          <w:b/>
        </w:rPr>
      </w:pPr>
      <w:r>
        <w:rPr>
          <w:rFonts w:hint="eastAsia" w:ascii="微软雅黑 Light" w:hAnsi="微软雅黑 Light" w:eastAsia="微软雅黑 Light"/>
          <w:b/>
        </w:rPr>
        <w:t>注意：</w:t>
      </w:r>
    </w:p>
    <w:p>
      <w:pPr>
        <w:pStyle w:val="15"/>
        <w:numPr>
          <w:ilvl w:val="0"/>
          <w:numId w:val="6"/>
        </w:numPr>
        <w:spacing w:line="360" w:lineRule="auto"/>
        <w:ind w:left="440" w:leftChars="200" w:firstLineChars="0"/>
        <w:rPr>
          <w:rFonts w:ascii="Tahoma" w:hAnsi="Tahoma" w:eastAsia="微软雅黑"/>
          <w:kern w:val="0"/>
          <w:sz w:val="22"/>
        </w:rPr>
      </w:pPr>
      <w:r>
        <w:rPr>
          <w:rFonts w:hint="eastAsia" w:ascii="Tahoma" w:hAnsi="Tahoma" w:eastAsia="微软雅黑"/>
          <w:kern w:val="0"/>
          <w:sz w:val="22"/>
        </w:rPr>
        <w:t>原有会计人员：指已获得会计专业技术资格证及原会计从业资格证的已在档人员，以及已注册过的人员。</w:t>
      </w:r>
    </w:p>
    <w:p>
      <w:pPr>
        <w:pStyle w:val="15"/>
        <w:numPr>
          <w:ilvl w:val="0"/>
          <w:numId w:val="6"/>
        </w:numPr>
        <w:spacing w:line="360" w:lineRule="auto"/>
        <w:ind w:left="440" w:leftChars="200" w:firstLineChars="0"/>
        <w:rPr>
          <w:rFonts w:ascii="微软雅黑 Light" w:hAnsi="微软雅黑 Light" w:eastAsia="微软雅黑 Light" w:cs="等线"/>
          <w:sz w:val="22"/>
        </w:rPr>
      </w:pPr>
      <w:r>
        <w:rPr>
          <w:rFonts w:hint="eastAsia" w:ascii="Tahoma" w:hAnsi="Tahoma" w:eastAsia="微软雅黑"/>
          <w:kern w:val="0"/>
          <w:sz w:val="22"/>
        </w:rPr>
        <w:t>原有会计人员首次登录（未绑定手机号的），及未进行信息采集人员注册时，需绑定本人手机号码，</w:t>
      </w:r>
      <w:r>
        <w:rPr>
          <w:rFonts w:hint="eastAsia" w:ascii="微软雅黑 Light" w:hAnsi="微软雅黑 Light" w:eastAsia="微软雅黑 Light"/>
          <w:b/>
          <w:sz w:val="22"/>
          <w:u w:val="single"/>
        </w:rPr>
        <w:t>请务必填写本人使用的真实手机号。</w:t>
      </w: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>
      <w:pPr>
        <w:pStyle w:val="6"/>
        <w:shd w:val="clear" w:color="auto" w:fill="FFFFFF"/>
        <w:spacing w:before="0" w:beforeAutospacing="0" w:after="0" w:afterAutospacing="0"/>
        <w:jc w:val="both"/>
        <w:rPr>
          <w:rFonts w:ascii="微软雅黑" w:hAnsi="微软雅黑" w:eastAsia="微软雅黑"/>
          <w:color w:val="333333"/>
          <w:spacing w:val="15"/>
        </w:rPr>
      </w:pPr>
    </w:p>
    <w:p>
      <w:pPr>
        <w:pStyle w:val="2"/>
        <w:numPr>
          <w:ilvl w:val="0"/>
          <w:numId w:val="1"/>
        </w:numPr>
        <w:spacing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注册</w:t>
      </w:r>
    </w:p>
    <w:p>
      <w:pPr>
        <w:spacing w:after="0"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  <w:bdr w:val="single" w:color="auto" w:sz="4" w:space="0"/>
        </w:rPr>
        <w:drawing>
          <wp:inline distT="0" distB="0" distL="0" distR="0">
            <wp:extent cx="2312670" cy="3476625"/>
            <wp:effectExtent l="19050" t="1905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800" r="7246"/>
                    <a:stretch>
                      <a:fillRect/>
                    </a:stretch>
                  </pic:blipFill>
                  <pic:spPr>
                    <a:xfrm>
                      <a:off x="0" y="0"/>
                      <a:ext cx="2313502" cy="34774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请根据界面向导填写各项信息，进⾏注册，注册成功后，重新登录，进⼊信息采集流程。</w:t>
      </w:r>
      <w:r>
        <w:t xml:space="preserve"> 如显示证件号被占</w:t>
      </w:r>
      <w:r>
        <w:rPr>
          <w:rFonts w:hint="eastAsia"/>
        </w:rPr>
        <w:t>⽤，请直接登录；如与本人身份信息不符，请联系当地会计管理部门，进⾏核实处理。</w:t>
      </w:r>
    </w:p>
    <w:p>
      <w:pPr>
        <w:pStyle w:val="2"/>
        <w:numPr>
          <w:ilvl w:val="0"/>
          <w:numId w:val="1"/>
        </w:numPr>
        <w:spacing w:before="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基本信息</w:t>
      </w:r>
    </w:p>
    <w:p>
      <w:pPr>
        <w:spacing w:after="0"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274310" cy="1696085"/>
            <wp:effectExtent l="19050" t="19050" r="254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635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姓名、证件号码、⼿机号码来⾃注册时填写的信息。</w:t>
      </w:r>
      <w:r>
        <w:t xml:space="preserve"> 带“*”的项为必填项，申报</w:t>
      </w:r>
      <w:r>
        <w:rPr>
          <w:rFonts w:hint="eastAsia"/>
        </w:rPr>
        <w:t>⼈需⾃主填写所有信息。</w:t>
      </w:r>
    </w:p>
    <w:p>
      <w:pPr>
        <w:pStyle w:val="2"/>
        <w:numPr>
          <w:ilvl w:val="0"/>
          <w:numId w:val="1"/>
        </w:numPr>
        <w:spacing w:before="12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工作信息</w:t>
      </w:r>
    </w:p>
    <w:p>
      <w:pPr>
        <w:pStyle w:val="15"/>
        <w:numPr>
          <w:ilvl w:val="0"/>
          <w:numId w:val="7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在岗会计人员</w:t>
      </w:r>
    </w:p>
    <w:p>
      <w:pPr>
        <w:spacing w:after="0" w:line="360" w:lineRule="auto"/>
        <w:jc w:val="center"/>
        <w:rPr>
          <w:rFonts w:ascii="微软雅黑 Light" w:hAnsi="微软雅黑 Light" w:eastAsia="微软雅黑 Light"/>
          <w:bdr w:val="single" w:color="auto" w:sz="4" w:space="0"/>
        </w:rPr>
      </w:pPr>
      <w:r>
        <w:rPr>
          <w:rFonts w:ascii="微软雅黑 Light" w:hAnsi="微软雅黑 Light" w:eastAsia="微软雅黑 Light"/>
          <w:bdr w:val="single" w:color="auto" w:sz="4" w:space="0"/>
        </w:rPr>
        <w:drawing>
          <wp:inline distT="0" distB="0" distL="0" distR="0">
            <wp:extent cx="5274310" cy="2180590"/>
            <wp:effectExtent l="19050" t="0" r="2540" b="0"/>
            <wp:docPr id="1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【是否在岗】选择“是”，申报⼈需要填写</w:t>
      </w:r>
      <w:r>
        <w:t>各项信息，带“*”的项为必填项。</w:t>
      </w:r>
    </w:p>
    <w:p>
      <w:pPr>
        <w:pStyle w:val="15"/>
        <w:numPr>
          <w:ilvl w:val="0"/>
          <w:numId w:val="7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非在岗会计人员</w:t>
      </w:r>
    </w:p>
    <w:p>
      <w:pPr>
        <w:spacing w:after="0" w:line="360" w:lineRule="auto"/>
        <w:jc w:val="center"/>
        <w:rPr>
          <w:rFonts w:ascii="微软雅黑 Light" w:hAnsi="微软雅黑 Light" w:eastAsia="微软雅黑 Light"/>
        </w:rPr>
      </w:pPr>
      <w:r>
        <w:rPr>
          <w:rFonts w:ascii="微软雅黑 Light" w:hAnsi="微软雅黑 Light" w:eastAsia="微软雅黑 Light"/>
        </w:rPr>
        <w:drawing>
          <wp:inline distT="0" distB="0" distL="0" distR="0">
            <wp:extent cx="5274310" cy="1378585"/>
            <wp:effectExtent l="19050" t="19050" r="2540" b="0"/>
            <wp:docPr id="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8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【是否在岗】选择“否”，申报⼈⾃主填写各项信息。带“</w:t>
      </w:r>
      <w:r>
        <w:t>*”的项为必填项。</w:t>
      </w:r>
    </w:p>
    <w:p>
      <w:pPr>
        <w:pStyle w:val="2"/>
        <w:numPr>
          <w:ilvl w:val="0"/>
          <w:numId w:val="1"/>
        </w:numPr>
        <w:spacing w:before="12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学历信息</w:t>
      </w:r>
    </w:p>
    <w:p>
      <w:pPr>
        <w:spacing w:line="360" w:lineRule="auto"/>
        <w:jc w:val="center"/>
        <w:rPr>
          <w:rFonts w:ascii="微软雅黑 Light" w:hAnsi="微软雅黑 Light" w:eastAsia="微软雅黑 Light"/>
        </w:rPr>
      </w:pPr>
      <w:r>
        <w:drawing>
          <wp:inline distT="0" distB="0" distL="0" distR="0">
            <wp:extent cx="4443730" cy="1543050"/>
            <wp:effectExtent l="19050" t="1905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3730" cy="15430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无学历（学位）信息，无需填写。如具有学历（学位）信息，请如实填报；填报时请选择对应的全日制、非全日制获取的最高学历信息，信息需要完整。</w:t>
      </w:r>
    </w:p>
    <w:p>
      <w:pPr>
        <w:pStyle w:val="2"/>
        <w:numPr>
          <w:ilvl w:val="0"/>
          <w:numId w:val="1"/>
        </w:numPr>
        <w:spacing w:before="240" w:after="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专业技术资格信息</w:t>
      </w:r>
    </w:p>
    <w:p>
      <w:pPr>
        <w:jc w:val="center"/>
      </w:pPr>
      <w:r>
        <w:drawing>
          <wp:inline distT="0" distB="0" distL="0" distR="0">
            <wp:extent cx="4090035" cy="1610360"/>
            <wp:effectExtent l="19050" t="19050" r="5715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0035" cy="1610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申报⼈⾃主填写各项信息，带“</w:t>
      </w:r>
      <w:r>
        <w:t>*”的项为必填项</w:t>
      </w:r>
      <w:r>
        <w:rPr>
          <w:rFonts w:hint="eastAsia"/>
        </w:rPr>
        <w:t>。</w:t>
      </w:r>
    </w:p>
    <w:p>
      <w:pPr>
        <w:pStyle w:val="2"/>
        <w:numPr>
          <w:ilvl w:val="0"/>
          <w:numId w:val="1"/>
        </w:numPr>
        <w:spacing w:before="240" w:after="12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上传证明材料</w:t>
      </w:r>
    </w:p>
    <w:p>
      <w:pPr>
        <w:spacing w:line="360" w:lineRule="auto"/>
        <w:ind w:firstLine="440" w:firstLineChars="200"/>
      </w:pPr>
      <w:r>
        <w:rPr>
          <w:rFonts w:hint="eastAsia"/>
        </w:rPr>
        <w:t>当上述第5、6、7、8项均填写并确认无误后，单击“下一步“按钮将进入证明材料的上传页面。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ab/>
      </w:r>
    </w:p>
    <w:p>
      <w:pPr>
        <w:tabs>
          <w:tab w:val="left" w:pos="1825"/>
        </w:tabs>
        <w:jc w:val="center"/>
      </w:pPr>
      <w:r>
        <w:drawing>
          <wp:inline distT="0" distB="0" distL="0" distR="0">
            <wp:extent cx="5274310" cy="3997960"/>
            <wp:effectExtent l="19050" t="19050" r="2540" b="25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9837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页面中所有材料项目均需如实上传、待上传的材料请保证清晰。</w:t>
      </w:r>
    </w:p>
    <w:p>
      <w:pPr>
        <w:pStyle w:val="2"/>
        <w:numPr>
          <w:ilvl w:val="0"/>
          <w:numId w:val="1"/>
        </w:numPr>
        <w:spacing w:after="12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个人信息汇总</w:t>
      </w:r>
    </w:p>
    <w:p>
      <w:pPr>
        <w:jc w:val="center"/>
      </w:pPr>
      <w:r>
        <w:drawing>
          <wp:inline distT="0" distB="0" distL="0" distR="0">
            <wp:extent cx="5274310" cy="2750820"/>
            <wp:effectExtent l="19050" t="19050" r="2540" b="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9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当信息采集各项审核通过后，资料将汇总到该页面。</w:t>
      </w:r>
    </w:p>
    <w:p>
      <w:pPr>
        <w:pStyle w:val="2"/>
        <w:numPr>
          <w:ilvl w:val="0"/>
          <w:numId w:val="1"/>
        </w:numPr>
        <w:spacing w:after="120" w:line="360" w:lineRule="auto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审核状态</w:t>
      </w:r>
    </w:p>
    <w:p>
      <w:pPr>
        <w:jc w:val="center"/>
      </w:pPr>
      <w:r>
        <w:drawing>
          <wp:inline distT="0" distB="0" distL="0" distR="0">
            <wp:extent cx="5172710" cy="2305685"/>
            <wp:effectExtent l="19050" t="19050" r="8890" b="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1912"/>
                    <a:stretch>
                      <a:fillRect/>
                    </a:stretch>
                  </pic:blipFill>
                  <pic:spPr>
                    <a:xfrm>
                      <a:off x="0" y="0"/>
                      <a:ext cx="5173152" cy="23058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40" w:firstLineChars="200"/>
      </w:pPr>
      <w:r>
        <w:rPr>
          <w:rFonts w:hint="eastAsia"/>
        </w:rPr>
        <w:t>当信息采集上传完毕后将进入信息审核阶段。审核状态将位于信息采集页面的左上角，它的状态分为：审核中、审核失败及审核成功三种。其中，审核成功后信息采集菜单及页面将消失，相关信息不可再修改。待会计人员信息变更功能上线后，可通过信息变更修改已填报的信息。</w:t>
      </w:r>
    </w:p>
    <w:p>
      <w:pPr>
        <w:pStyle w:val="2"/>
        <w:numPr>
          <w:ilvl w:val="0"/>
          <w:numId w:val="1"/>
        </w:numPr>
        <w:spacing w:after="120"/>
        <w:rPr>
          <w:rFonts w:ascii="微软雅黑 Light" w:hAnsi="微软雅黑 Light" w:eastAsia="微软雅黑 Light"/>
          <w:sz w:val="28"/>
        </w:rPr>
      </w:pPr>
      <w:r>
        <w:rPr>
          <w:rFonts w:hint="eastAsia" w:ascii="微软雅黑 Light" w:hAnsi="微软雅黑 Light" w:eastAsia="微软雅黑 Light"/>
          <w:sz w:val="28"/>
        </w:rPr>
        <w:t>附录</w:t>
      </w:r>
    </w:p>
    <w:p>
      <w:pPr>
        <w:jc w:val="center"/>
        <w:rPr>
          <w:sz w:val="28"/>
          <w:szCs w:val="28"/>
          <w:lang w:bidi="en-US"/>
        </w:rPr>
      </w:pPr>
      <w:r>
        <w:rPr>
          <w:rFonts w:hint="eastAsia"/>
          <w:sz w:val="28"/>
          <w:szCs w:val="28"/>
          <w:lang w:bidi="en-US"/>
        </w:rPr>
        <w:t>工作证明</w:t>
      </w:r>
    </w:p>
    <w:p>
      <w:pPr>
        <w:jc w:val="center"/>
        <w:rPr>
          <w:rFonts w:ascii="黑体" w:hAnsi="黑体" w:eastAsia="黑体" w:cs="黑体"/>
          <w:sz w:val="28"/>
          <w:szCs w:val="28"/>
          <w:lang w:bidi="en-US"/>
        </w:rPr>
      </w:pPr>
    </w:p>
    <w:p>
      <w:pPr>
        <w:ind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兹有×××（身份证件号码：×××），系我单位正式职工，从事如下工作：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□会计机构负责人(会计主管)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□出纳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□稽核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□资本、基金核算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□收入、支出、债权、债务核算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□工资核算、成本费用核算、财务成果核算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□财产物资收发、增减核算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□总账;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□财务会计报告编制</w:t>
      </w:r>
    </w:p>
    <w:p>
      <w:pPr>
        <w:ind w:left="440" w:leftChars="200" w:firstLine="560" w:firstLineChars="200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□会计机构内会计档案管理</w:t>
      </w:r>
    </w:p>
    <w:p>
      <w:pPr>
        <w:ind w:left="440" w:leftChars="200" w:firstLine="560" w:firstLineChars="200"/>
        <w:rPr>
          <w:rFonts w:ascii="仿宋" w:hAnsi="仿宋" w:eastAsia="仿宋"/>
          <w:color w:val="00000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</w:t>
      </w:r>
      <w:r>
        <w:rPr>
          <w:rFonts w:hint="eastAsia" w:ascii="仿宋" w:hAnsi="仿宋" w:eastAsia="仿宋"/>
          <w:color w:val="000000"/>
          <w:sz w:val="28"/>
          <w:szCs w:val="28"/>
          <w:shd w:val="clear" w:color="auto" w:fill="FFFFFF"/>
        </w:rPr>
        <w:t>其它会计工作</w:t>
      </w:r>
    </w:p>
    <w:p>
      <w:pPr>
        <w:ind w:left="440" w:leftChars="200" w:firstLine="560" w:firstLineChars="200"/>
        <w:rPr>
          <w:rFonts w:ascii="仿宋" w:hAnsi="仿宋" w:eastAsia="仿宋"/>
          <w:color w:val="000000"/>
          <w:sz w:val="28"/>
          <w:szCs w:val="28"/>
          <w:shd w:val="clear" w:color="auto" w:fill="FFFFFF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□</w:t>
      </w:r>
      <w:r>
        <w:rPr>
          <w:rFonts w:hint="eastAsia" w:ascii="仿宋" w:hAnsi="仿宋" w:eastAsia="仿宋"/>
          <w:color w:val="000000"/>
          <w:sz w:val="28"/>
          <w:szCs w:val="28"/>
          <w:shd w:val="clear" w:color="auto" w:fill="FFFFFF"/>
        </w:rPr>
        <w:t>不从事会计工作岗位</w:t>
      </w:r>
    </w:p>
    <w:p>
      <w:pPr>
        <w:ind w:firstLine="560" w:firstLineChars="200"/>
        <w:rPr>
          <w:rFonts w:hint="eastAsia"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本单位证照号码（统一社会信用代码）为_________________所属会计管理部门为_________市（县、区）财政局，特此证明。</w:t>
      </w:r>
    </w:p>
    <w:p>
      <w:pPr>
        <w:jc w:val="right"/>
        <w:rPr>
          <w:rFonts w:hint="eastAsia" w:ascii="仿宋" w:hAnsi="仿宋" w:eastAsia="仿宋" w:cs="仿宋"/>
          <w:sz w:val="28"/>
          <w:szCs w:val="28"/>
          <w:lang w:bidi="en-US"/>
        </w:rPr>
      </w:pPr>
    </w:p>
    <w:p>
      <w:pPr>
        <w:jc w:val="right"/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单位盖章</w:t>
      </w:r>
    </w:p>
    <w:p>
      <w:pPr>
        <w:ind w:firstLine="949" w:firstLineChars="339"/>
        <w:jc w:val="right"/>
        <w:rPr>
          <w:rFonts w:hint="eastAsia"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年   月   日</w:t>
      </w:r>
    </w:p>
    <w:p>
      <w:pPr>
        <w:rPr>
          <w:rFonts w:ascii="仿宋" w:hAnsi="仿宋" w:eastAsia="仿宋" w:cs="仿宋"/>
          <w:sz w:val="28"/>
          <w:szCs w:val="28"/>
          <w:lang w:bidi="en-US"/>
        </w:rPr>
      </w:pPr>
      <w:r>
        <w:rPr>
          <w:rFonts w:hint="eastAsia" w:ascii="仿宋" w:hAnsi="仿宋" w:eastAsia="仿宋" w:cs="仿宋"/>
          <w:sz w:val="28"/>
          <w:szCs w:val="28"/>
          <w:lang w:bidi="en-US"/>
        </w:rPr>
        <w:t>注：此文档填写盖章后拍照上传。请按此文档格式填写，否则将审核不通过。</w:t>
      </w:r>
    </w:p>
    <w:sectPr>
      <w:footerReference r:id="rId4" w:type="default"/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 Light">
    <w:panose1 w:val="020B0502040204020203"/>
    <w:charset w:val="86"/>
    <w:family w:val="swiss"/>
    <w:pitch w:val="default"/>
    <w:sig w:usb0="80000287" w:usb1="2ACF001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eiryo">
    <w:altName w:val="Yu Gothic"/>
    <w:panose1 w:val="00000000000000000000"/>
    <w:charset w:val="80"/>
    <w:family w:val="swiss"/>
    <w:pitch w:val="default"/>
    <w:sig w:usb0="00000000" w:usb1="00000000" w:usb2="08000012" w:usb3="00000000" w:csb0="000200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4483099"/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7</w:t>
        </w:r>
        <w:r>
          <w:fldChar w:fldCharType="end"/>
        </w:r>
      </w:p>
    </w:sdtContent>
  </w:sdt>
  <w:p>
    <w:pPr>
      <w:pStyle w:val="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32F6469"/>
    <w:multiLevelType w:val="multilevel"/>
    <w:tmpl w:val="032F6469"/>
    <w:lvl w:ilvl="0" w:tentative="0">
      <w:start w:val="2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">
    <w:nsid w:val="05943AA9"/>
    <w:multiLevelType w:val="multilevel"/>
    <w:tmpl w:val="05943AA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1B985337"/>
    <w:multiLevelType w:val="multilevel"/>
    <w:tmpl w:val="1B98533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1F761730"/>
    <w:multiLevelType w:val="multilevel"/>
    <w:tmpl w:val="1F761730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4902A74"/>
    <w:multiLevelType w:val="multilevel"/>
    <w:tmpl w:val="34902A74"/>
    <w:lvl w:ilvl="0" w:tentative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63481B19"/>
    <w:multiLevelType w:val="multilevel"/>
    <w:tmpl w:val="63481B19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64EA21C4"/>
    <w:multiLevelType w:val="multilevel"/>
    <w:tmpl w:val="64EA21C4"/>
    <w:lvl w:ilvl="0" w:tentative="0">
      <w:start w:val="3"/>
      <w:numFmt w:val="decimal"/>
      <w:lvlText w:val="%1.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 w:tentative="0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 w:tentative="0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 w:tentative="0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 w:tentative="0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6"/>
  </w:num>
  <w:num w:numId="5">
    <w:abstractNumId w:val="2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docVars>
    <w:docVar w:name="commondata" w:val="eyJoZGlkIjoiZjZjYzY3MjdiMmE2Yzg2YmZhYjUxZDcyYWY5NzAzMjQifQ=="/>
    <w:docVar w:name="KSO_WPS_MARK_KEY" w:val="dd991864-bf3e-456b-aa54-1fdad3e85bc5"/>
  </w:docVars>
  <w:rsids>
    <w:rsidRoot w:val="00D31D50"/>
    <w:rsid w:val="00097B52"/>
    <w:rsid w:val="000C6E88"/>
    <w:rsid w:val="000F20BD"/>
    <w:rsid w:val="00107596"/>
    <w:rsid w:val="00154D1B"/>
    <w:rsid w:val="001B7ADC"/>
    <w:rsid w:val="0020163C"/>
    <w:rsid w:val="002413C6"/>
    <w:rsid w:val="003108AC"/>
    <w:rsid w:val="00323B43"/>
    <w:rsid w:val="00340547"/>
    <w:rsid w:val="00373131"/>
    <w:rsid w:val="003764F3"/>
    <w:rsid w:val="00390120"/>
    <w:rsid w:val="003C4C6A"/>
    <w:rsid w:val="003C634F"/>
    <w:rsid w:val="003D37D8"/>
    <w:rsid w:val="00400D5C"/>
    <w:rsid w:val="00410D2A"/>
    <w:rsid w:val="00412689"/>
    <w:rsid w:val="00426133"/>
    <w:rsid w:val="004358AB"/>
    <w:rsid w:val="004804F3"/>
    <w:rsid w:val="00534E07"/>
    <w:rsid w:val="00584D4C"/>
    <w:rsid w:val="005B62AA"/>
    <w:rsid w:val="00677BAF"/>
    <w:rsid w:val="006B7DFC"/>
    <w:rsid w:val="00747F02"/>
    <w:rsid w:val="007E1DF8"/>
    <w:rsid w:val="00801F96"/>
    <w:rsid w:val="0081543C"/>
    <w:rsid w:val="00817CD4"/>
    <w:rsid w:val="008431D5"/>
    <w:rsid w:val="00846BC4"/>
    <w:rsid w:val="00854B60"/>
    <w:rsid w:val="008553D0"/>
    <w:rsid w:val="008560F1"/>
    <w:rsid w:val="00874BD1"/>
    <w:rsid w:val="008B7726"/>
    <w:rsid w:val="00935D6B"/>
    <w:rsid w:val="0097582A"/>
    <w:rsid w:val="00987953"/>
    <w:rsid w:val="009D248F"/>
    <w:rsid w:val="009E0E25"/>
    <w:rsid w:val="00A36243"/>
    <w:rsid w:val="00A91557"/>
    <w:rsid w:val="00AC46BD"/>
    <w:rsid w:val="00AD5539"/>
    <w:rsid w:val="00B1520A"/>
    <w:rsid w:val="00B92995"/>
    <w:rsid w:val="00BA2A2A"/>
    <w:rsid w:val="00BE5B28"/>
    <w:rsid w:val="00C020F0"/>
    <w:rsid w:val="00C72E20"/>
    <w:rsid w:val="00C9781D"/>
    <w:rsid w:val="00CD57D4"/>
    <w:rsid w:val="00CF692F"/>
    <w:rsid w:val="00D137EE"/>
    <w:rsid w:val="00D31D50"/>
    <w:rsid w:val="00D443E4"/>
    <w:rsid w:val="00D461F1"/>
    <w:rsid w:val="00D51EBE"/>
    <w:rsid w:val="00E258F4"/>
    <w:rsid w:val="00E65129"/>
    <w:rsid w:val="00F22D25"/>
    <w:rsid w:val="00F82064"/>
    <w:rsid w:val="00F969C5"/>
    <w:rsid w:val="00FB0BA6"/>
    <w:rsid w:val="00FB5260"/>
    <w:rsid w:val="00FD33E2"/>
    <w:rsid w:val="00FD4709"/>
    <w:rsid w:val="1C497C82"/>
    <w:rsid w:val="2D8D8FBA"/>
    <w:rsid w:val="3B466091"/>
    <w:rsid w:val="3E8C542B"/>
    <w:rsid w:val="8938A972"/>
    <w:rsid w:val="DE7FF42D"/>
    <w:rsid w:val="ECF78875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widowControl w:val="0"/>
      <w:adjustRightInd/>
      <w:snapToGrid/>
      <w:spacing w:before="340" w:after="330" w:line="578" w:lineRule="auto"/>
      <w:jc w:val="both"/>
      <w:outlineLvl w:val="0"/>
    </w:pPr>
    <w:rPr>
      <w:rFonts w:asciiTheme="minorHAnsi" w:hAnsiTheme="minorHAnsi" w:eastAsiaTheme="minorEastAsia"/>
      <w:b/>
      <w:bCs/>
      <w:kern w:val="44"/>
      <w:sz w:val="44"/>
      <w:szCs w:val="44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6"/>
    <w:unhideWhenUsed/>
    <w:qFormat/>
    <w:uiPriority w:val="99"/>
    <w:pPr>
      <w:spacing w:after="0"/>
    </w:pPr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adjustRightInd/>
      <w:snapToGrid/>
      <w:spacing w:before="100" w:beforeAutospacing="1" w:after="100" w:afterAutospacing="1"/>
    </w:pPr>
    <w:rPr>
      <w:rFonts w:ascii="宋体" w:hAnsi="宋体" w:eastAsia="宋体" w:cs="宋体"/>
      <w:sz w:val="24"/>
      <w:szCs w:val="24"/>
    </w:rPr>
  </w:style>
  <w:style w:type="paragraph" w:styleId="7">
    <w:name w:val="Title"/>
    <w:basedOn w:val="1"/>
    <w:next w:val="1"/>
    <w:link w:val="14"/>
    <w:qFormat/>
    <w:uiPriority w:val="10"/>
    <w:pPr>
      <w:widowControl w:val="0"/>
      <w:adjustRightInd/>
      <w:snapToGrid/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styleId="10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customStyle="1" w:styleId="11">
    <w:name w:val="页眉 字符"/>
    <w:basedOn w:val="9"/>
    <w:link w:val="5"/>
    <w:qFormat/>
    <w:uiPriority w:val="99"/>
    <w:rPr>
      <w:rFonts w:ascii="Tahoma" w:hAnsi="Tahoma"/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rFonts w:ascii="Tahoma" w:hAnsi="Tahoma"/>
      <w:sz w:val="18"/>
      <w:szCs w:val="18"/>
    </w:rPr>
  </w:style>
  <w:style w:type="character" w:customStyle="1" w:styleId="13">
    <w:name w:val="标题 1 字符"/>
    <w:basedOn w:val="9"/>
    <w:link w:val="2"/>
    <w:qFormat/>
    <w:uiPriority w:val="9"/>
    <w:rPr>
      <w:rFonts w:eastAsiaTheme="minorEastAsia"/>
      <w:b/>
      <w:bCs/>
      <w:kern w:val="44"/>
      <w:sz w:val="44"/>
      <w:szCs w:val="44"/>
    </w:rPr>
  </w:style>
  <w:style w:type="character" w:customStyle="1" w:styleId="14">
    <w:name w:val="标题 字符"/>
    <w:basedOn w:val="9"/>
    <w:link w:val="7"/>
    <w:qFormat/>
    <w:uiPriority w:val="1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paragraph" w:customStyle="1" w:styleId="15">
    <w:name w:val="列表段落1"/>
    <w:basedOn w:val="1"/>
    <w:qFormat/>
    <w:uiPriority w:val="34"/>
    <w:pPr>
      <w:widowControl w:val="0"/>
      <w:adjustRightInd/>
      <w:snapToGrid/>
      <w:spacing w:after="0"/>
      <w:ind w:firstLine="420" w:firstLineChars="200"/>
      <w:jc w:val="both"/>
    </w:pPr>
    <w:rPr>
      <w:rFonts w:asciiTheme="minorHAnsi" w:hAnsiTheme="minorHAnsi" w:eastAsiaTheme="minorEastAsia"/>
      <w:kern w:val="2"/>
      <w:sz w:val="21"/>
    </w:rPr>
  </w:style>
  <w:style w:type="character" w:customStyle="1" w:styleId="16">
    <w:name w:val="批注框文本 字符"/>
    <w:basedOn w:val="9"/>
    <w:link w:val="3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Windsoft</Company>
  <Pages>10</Pages>
  <Words>1981</Words>
  <Characters>2064</Characters>
  <Lines>16</Lines>
  <Paragraphs>4</Paragraphs>
  <TotalTime>24</TotalTime>
  <ScaleCrop>false</ScaleCrop>
  <LinksUpToDate>false</LinksUpToDate>
  <CharactersWithSpaces>2088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2008-09-12T09:20:00Z</dcterms:created>
  <dc:creator>Administrator</dc:creator>
  <cp:lastModifiedBy>Administrator</cp:lastModifiedBy>
  <dcterms:modified xsi:type="dcterms:W3CDTF">2025-06-10T01:45:08Z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8A954324DA914C41AFE8C34754767223_12</vt:lpwstr>
  </property>
</Properties>
</file>