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spacing w:beforeAutospacing="0" w:afterAutospacing="0" w:line="579" w:lineRule="exact"/>
        <w:ind w:left="0" w:leftChars="0" w:right="0" w:rightChars="0"/>
        <w:jc w:val="both"/>
        <w:textAlignment w:val="baseline"/>
        <w:outlineLvl w:val="9"/>
        <w:rPr>
          <w:rFonts w:hint="eastAsia" w:ascii="方正黑体_GBK" w:hAnsi="宋体" w:eastAsia="仿宋" w:cs="方正黑体_GBK"/>
          <w:color w:val="000000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vertAlign w:val="baseline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Autospacing="0" w:afterAutospacing="0" w:line="579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 xml:space="preserve">国家免疫规划疫苗漏种儿童补种原则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Autospacing="0" w:afterAutospacing="0" w:line="579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Autospacing="0" w:afterAutospacing="0"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根据《疫苗流通和预防接种管理条例》要求，在入托入学查验预防接种证时，对未完成免疫程序的儿童，按以下原则进行补种：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一、未进行国家免疫规划疫苗常规接种的儿童，按照免疫程序规定的时间间隔进行补种。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二、未完成国家免疫规划疫苗常规接种程序规定剂次的儿童，需补种未完成的剂次。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三、未完成百白破疫苗免疫程序的3月龄～5岁儿童使用百白破疫苗；6～11岁儿童使用儿童型白破疫苗；≥12岁儿童使用成人及青少年用白破疫苗。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四、未完成脊灰减毒活疫苗免疫程序的儿童，＜4岁儿童未达到3剂（含补充免疫等），应补种完成3剂；≥4岁儿童未达到4剂（含补充免疫等），应补种完成4剂。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五、未完成2剂含麻疹成分疫苗接种（含补充免疫等）的儿童，应补种完成2剂。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六、未接种卡介苗3月龄～3岁儿童对结合菌素或卡介菌纯蛋白衍生物（PPD）试验阴性者补种，≥4岁儿童不予补种。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七、如需补种多种国家免疫规划疫苗，两种疫苗可以同时在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79" w:lineRule="exact"/>
        <w:ind w:right="0" w:rightChars="0"/>
        <w:jc w:val="both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不同部位接种。两种减毒活疫苗如未在同一天注射，则接种注射时间应至少间隔4周。</w:t>
      </w:r>
    </w:p>
    <w:p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"/>
        </w:rPr>
        <w:t>八、需要补种多种疫苗时，建议优先补种含麻疹成分疫苗、脊灰疫苗、甲肝疫苗，或根据当地传染病流行情况确定优先补种的疫苗。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193C"/>
    <w:rsid w:val="1E9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2021-09-30T02:33:00Z</dcterms:created>
  <dc:creator>Administrator</dc:creator>
  <cp:lastModifiedBy>Administrator</cp:lastModifiedBy>
  <dcterms:modified xsi:type="dcterms:W3CDTF">2021-09-30T02:36:39Z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