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0" w:lineRule="exact"/>
        <w:jc w:val="left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4</w:t>
      </w:r>
    </w:p>
    <w:p>
      <w:pPr>
        <w:autoSpaceDE w:val="0"/>
        <w:spacing w:line="57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洗手设施全配套行动任务清单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5"/>
        <w:tblW w:w="13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6946"/>
        <w:gridCol w:w="6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9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目标任务</w:t>
            </w:r>
          </w:p>
        </w:tc>
        <w:tc>
          <w:tcPr>
            <w:tcW w:w="6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9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学校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公共区域设置方便学生的洗手设施，原则上每个水龙头服务学生人数不超过50人</w:t>
            </w:r>
          </w:p>
        </w:tc>
        <w:tc>
          <w:tcPr>
            <w:tcW w:w="6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乡中心小学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小学校点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具体落实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9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全乡各公共场所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公厕、广场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、乡机关、各中心（站）所、各村委会公共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区域配置提升洗手设施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eastAsia="zh-CN" w:bidi="ar"/>
              </w:rPr>
              <w:t>（乡机关在现有基础上新建洗手台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val="en-US" w:eastAsia="zh-CN" w:bidi="ar"/>
              </w:rPr>
              <w:t>1个，乡民族文化广场新建洗手台1个，财政所新建洗手台1个，派出所新建洗手台1个，林业草原服务中心新建洗手台1个，卫生院新建洗手台2个，各村卫生室分别新建洗手台1个，适中烟点新建洗手台1个，各村委会新建洗手台1个，三木民族文化广场新建洗手台1个；其余中心站所提升配套相关洗手设施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6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乡党政办牵头，乡城建办、项目办配合，各中心（站）所、各村委会具体落实。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9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医疗机构公共区域配置提升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洗手设施</w:t>
            </w:r>
          </w:p>
        </w:tc>
        <w:tc>
          <w:tcPr>
            <w:tcW w:w="6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各村卫生室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9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农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贸市场出入口等区域配置洗手设施，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企业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、餐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馆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等公共场所按需配置洗手设施</w:t>
            </w:r>
          </w:p>
        </w:tc>
        <w:tc>
          <w:tcPr>
            <w:tcW w:w="6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监管局牵头，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AED"/>
    <w:rsid w:val="65665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2020-09-07T07:42:00Z</dcterms:created>
  <dc:creator>lenovo</dc:creator>
  <cp:lastModifiedBy>lenovo</cp:lastModifiedBy>
  <dcterms:modified xsi:type="dcterms:W3CDTF">2020-09-07T07:42:55Z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